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39" w:rsidRDefault="00A33DAE">
      <w:pPr>
        <w:pStyle w:val="1"/>
        <w:ind w:left="0"/>
        <w:rPr>
          <w:rFonts w:ascii="宋体" w:hAnsi="宋体" w:cs="宋体"/>
          <w:b/>
          <w:color w:val="auto"/>
        </w:rPr>
      </w:pPr>
      <w:bookmarkStart w:id="0" w:name="_Toc500835383"/>
      <w:bookmarkStart w:id="1" w:name="_Toc5233"/>
      <w:bookmarkStart w:id="2" w:name="_Toc12538316"/>
      <w:r>
        <w:rPr>
          <w:rFonts w:ascii="宋体" w:hAnsi="宋体" w:cs="宋体" w:hint="eastAsia"/>
          <w:b/>
          <w:color w:val="auto"/>
        </w:rPr>
        <w:t>仪器设备技术参数</w:t>
      </w:r>
      <w:bookmarkEnd w:id="0"/>
      <w:bookmarkEnd w:id="1"/>
      <w:bookmarkEnd w:id="2"/>
    </w:p>
    <w:p w:rsidR="00452D39" w:rsidRDefault="00A33DAE">
      <w:pPr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技术参数：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工作条件</w:t>
      </w:r>
      <w:r>
        <w:rPr>
          <w:rFonts w:ascii="宋体" w:hAnsi="宋体" w:cs="宋体" w:hint="eastAsia"/>
        </w:rPr>
        <w:t xml:space="preserve"> 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1.1</w:t>
      </w:r>
      <w:r>
        <w:rPr>
          <w:rFonts w:ascii="宋体" w:hAnsi="宋体" w:cs="宋体" w:hint="eastAsia"/>
        </w:rPr>
        <w:t>供给电压：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 w:hint="eastAsia"/>
        </w:rPr>
        <w:t xml:space="preserve">240V </w:t>
      </w:r>
      <w:r>
        <w:rPr>
          <w:rFonts w:ascii="宋体" w:hAnsi="宋体" w:cs="宋体" w:hint="eastAsia"/>
        </w:rPr>
        <w:t>±</w:t>
      </w:r>
      <w:r>
        <w:rPr>
          <w:rFonts w:ascii="宋体" w:hAnsi="宋体" w:cs="宋体" w:hint="eastAsia"/>
        </w:rPr>
        <w:t xml:space="preserve"> 10%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 w:hint="eastAsia"/>
        </w:rPr>
        <w:t>50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 w:hint="eastAsia"/>
        </w:rPr>
        <w:t xml:space="preserve">60Hz </w:t>
      </w:r>
      <w:r>
        <w:rPr>
          <w:rFonts w:ascii="宋体" w:hAnsi="宋体" w:cs="宋体" w:hint="eastAsia"/>
        </w:rPr>
        <w:t>±</w:t>
      </w:r>
      <w:r>
        <w:rPr>
          <w:rFonts w:ascii="宋体" w:hAnsi="宋体" w:cs="宋体" w:hint="eastAsia"/>
        </w:rPr>
        <w:t xml:space="preserve"> 2Hz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相对湿度：</w:t>
      </w:r>
      <w:r>
        <w:rPr>
          <w:rFonts w:ascii="宋体" w:hAnsi="宋体" w:cs="宋体" w:hint="eastAsia"/>
        </w:rPr>
        <w:t>20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 w:hint="eastAsia"/>
        </w:rPr>
        <w:t>80%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环境温度：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℃～</w:t>
      </w:r>
      <w:r>
        <w:rPr>
          <w:rFonts w:ascii="宋体" w:hAnsi="宋体" w:cs="宋体" w:hint="eastAsia"/>
        </w:rPr>
        <w:t>35</w:t>
      </w:r>
      <w:r>
        <w:rPr>
          <w:rFonts w:ascii="宋体" w:hAnsi="宋体" w:cs="宋体" w:hint="eastAsia"/>
        </w:rPr>
        <w:t>℃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2</w:t>
      </w:r>
      <w:bookmarkStart w:id="3" w:name="_GoBack"/>
      <w:bookmarkEnd w:id="3"/>
      <w:r>
        <w:rPr>
          <w:rFonts w:ascii="宋体" w:hAnsi="宋体" w:cs="宋体" w:hint="eastAsia"/>
        </w:rPr>
        <w:t>进水条件：经蒸馏技术处理的纯水</w:t>
      </w:r>
    </w:p>
    <w:p w:rsidR="00452D39" w:rsidRDefault="00A33DAE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实验应用：</w:t>
      </w:r>
      <w:r>
        <w:rPr>
          <w:rFonts w:ascii="宋体" w:hAnsi="宋体" w:cs="宋体" w:hint="eastAsia"/>
        </w:rPr>
        <w:t>主要用于痕量分析和质谱分析（</w:t>
      </w:r>
      <w:r>
        <w:rPr>
          <w:rFonts w:ascii="宋体" w:hAnsi="宋体" w:cs="宋体" w:hint="eastAsia"/>
        </w:rPr>
        <w:t>HPLC/LC-MS/ICP-MS</w:t>
      </w:r>
      <w:r>
        <w:rPr>
          <w:rFonts w:ascii="宋体" w:hAnsi="宋体" w:cs="宋体" w:hint="eastAsia"/>
        </w:rPr>
        <w:t>等</w:t>
      </w:r>
      <w:r>
        <w:rPr>
          <w:rFonts w:ascii="宋体" w:hAnsi="宋体" w:cs="宋体" w:hint="eastAsia"/>
        </w:rPr>
        <w:t>）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3.</w:t>
      </w:r>
      <w:r>
        <w:rPr>
          <w:rFonts w:ascii="宋体" w:hAnsi="宋体" w:cs="宋体" w:hint="eastAsia"/>
        </w:rPr>
        <w:t>可以选择</w:t>
      </w:r>
      <w:r>
        <w:rPr>
          <w:rFonts w:ascii="宋体" w:hAnsi="宋体" w:cs="宋体" w:hint="eastAsia"/>
        </w:rPr>
        <w:t>多</w:t>
      </w:r>
      <w:r>
        <w:rPr>
          <w:rFonts w:ascii="宋体" w:hAnsi="宋体" w:cs="宋体" w:hint="eastAsia"/>
        </w:rPr>
        <w:t>种</w:t>
      </w:r>
      <w:r>
        <w:rPr>
          <w:rFonts w:ascii="宋体" w:hAnsi="宋体" w:cs="宋体" w:hint="eastAsia"/>
        </w:rPr>
        <w:t>方式和流速取水（可配脚踏）</w:t>
      </w:r>
      <w:r>
        <w:rPr>
          <w:rFonts w:ascii="宋体" w:hAnsi="宋体" w:cs="宋体" w:hint="eastAsia"/>
        </w:rPr>
        <w:t>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</w:rPr>
        <w:t>实验室一级超纯水产水水质：达到或超过各种标准中规定的</w:t>
      </w:r>
      <w:r>
        <w:rPr>
          <w:rFonts w:ascii="宋体" w:hAnsi="宋体" w:cs="宋体" w:hint="eastAsia"/>
        </w:rPr>
        <w:t>I</w:t>
      </w:r>
      <w:r>
        <w:rPr>
          <w:rFonts w:ascii="宋体" w:hAnsi="宋体" w:cs="宋体" w:hint="eastAsia"/>
        </w:rPr>
        <w:t>级水质，如</w:t>
      </w:r>
      <w:r>
        <w:rPr>
          <w:rFonts w:ascii="宋体" w:hAnsi="宋体" w:cs="宋体" w:hint="eastAsia"/>
        </w:rPr>
        <w:t>ASTM D1193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ASTM D5196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CAP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ISO 3696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CLSI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 xml:space="preserve">JIS </w:t>
      </w:r>
      <w:r>
        <w:rPr>
          <w:rFonts w:ascii="宋体" w:hAnsi="宋体" w:cs="宋体" w:hint="eastAsia"/>
        </w:rPr>
        <w:t>K0577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GB6682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GB33087</w:t>
      </w:r>
      <w:r>
        <w:rPr>
          <w:rFonts w:ascii="宋体" w:hAnsi="宋体" w:cs="宋体" w:hint="eastAsia"/>
        </w:rPr>
        <w:t>等，及美国药典（</w:t>
      </w:r>
      <w:r>
        <w:rPr>
          <w:rFonts w:ascii="宋体" w:hAnsi="宋体" w:cs="宋体" w:hint="eastAsia"/>
        </w:rPr>
        <w:t>USP</w:t>
      </w:r>
      <w:r>
        <w:rPr>
          <w:rFonts w:ascii="宋体" w:hAnsi="宋体" w:cs="宋体" w:hint="eastAsia"/>
        </w:rPr>
        <w:t>）、欧洲药典（</w:t>
      </w:r>
      <w:r>
        <w:rPr>
          <w:rFonts w:ascii="宋体" w:hAnsi="宋体" w:cs="宋体" w:hint="eastAsia"/>
        </w:rPr>
        <w:t>EP</w:t>
      </w:r>
      <w:r>
        <w:rPr>
          <w:rFonts w:ascii="宋体" w:hAnsi="宋体" w:cs="宋体" w:hint="eastAsia"/>
        </w:rPr>
        <w:t>）、日本药典（</w:t>
      </w:r>
      <w:r>
        <w:rPr>
          <w:rFonts w:ascii="宋体" w:hAnsi="宋体" w:cs="宋体" w:hint="eastAsia"/>
        </w:rPr>
        <w:t>JP</w:t>
      </w:r>
      <w:r>
        <w:rPr>
          <w:rFonts w:ascii="宋体" w:hAnsi="宋体" w:cs="宋体" w:hint="eastAsia"/>
        </w:rPr>
        <w:t>）和中国</w:t>
      </w:r>
      <w:r>
        <w:rPr>
          <w:rFonts w:ascii="宋体" w:hAnsi="宋体" w:cs="宋体" w:hint="eastAsia"/>
        </w:rPr>
        <w:t>2015</w:t>
      </w:r>
      <w:r>
        <w:rPr>
          <w:rFonts w:ascii="宋体" w:hAnsi="宋体" w:cs="宋体" w:hint="eastAsia"/>
        </w:rPr>
        <w:t>版药典（</w:t>
      </w:r>
      <w:r>
        <w:rPr>
          <w:rFonts w:ascii="宋体" w:hAnsi="宋体" w:cs="宋体" w:hint="eastAsia"/>
        </w:rPr>
        <w:t>ChP</w:t>
      </w:r>
      <w:r>
        <w:rPr>
          <w:rFonts w:ascii="宋体" w:hAnsi="宋体" w:cs="宋体" w:hint="eastAsia"/>
        </w:rPr>
        <w:t>）中规定的试剂级超纯水要求，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产水电阻率：</w:t>
      </w:r>
      <w:r>
        <w:rPr>
          <w:rFonts w:ascii="宋体" w:hAnsi="宋体" w:cs="宋体" w:hint="eastAsia"/>
        </w:rPr>
        <w:t>18.2M</w:t>
      </w:r>
      <w:r>
        <w:rPr>
          <w:rFonts w:ascii="宋体" w:hAnsi="宋体" w:cs="宋体" w:hint="eastAsia"/>
        </w:rPr>
        <w:t>Ω</w:t>
      </w:r>
      <w:r>
        <w:rPr>
          <w:rFonts w:ascii="宋体" w:hAnsi="宋体" w:cs="宋体" w:hint="eastAsia"/>
        </w:rPr>
        <w:t>.cm @ 25</w:t>
      </w:r>
      <w:r>
        <w:rPr>
          <w:rFonts w:ascii="宋体" w:hAnsi="宋体" w:cs="宋体" w:hint="eastAsia"/>
        </w:rPr>
        <w:t>℃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TOC</w:t>
      </w:r>
      <w:r>
        <w:rPr>
          <w:rFonts w:ascii="宋体" w:hAnsi="宋体" w:cs="宋体" w:hint="eastAsia"/>
        </w:rPr>
        <w:t>含量：≤</w:t>
      </w:r>
      <w:r>
        <w:rPr>
          <w:rFonts w:ascii="宋体" w:hAnsi="宋体" w:cs="宋体" w:hint="eastAsia"/>
        </w:rPr>
        <w:t>2ppb(1)</w:t>
      </w:r>
      <w:r>
        <w:rPr>
          <w:rFonts w:ascii="宋体" w:hAnsi="宋体" w:cs="宋体" w:hint="eastAsia"/>
        </w:rPr>
        <w:t>；典型值≤</w:t>
      </w:r>
      <w:r>
        <w:rPr>
          <w:rFonts w:ascii="宋体" w:hAnsi="宋体" w:cs="宋体" w:hint="eastAsia"/>
        </w:rPr>
        <w:t xml:space="preserve"> 5ppb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微生物：</w:t>
      </w:r>
      <w:r>
        <w:rPr>
          <w:rFonts w:ascii="宋体" w:hAnsi="宋体" w:cs="宋体" w:hint="eastAsia"/>
        </w:rPr>
        <w:t>&lt;0.01CFU/mL(2)</w: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 xml:space="preserve">&lt;0.005*CFU/mL(3) 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直径大于</w:t>
      </w:r>
      <w:r>
        <w:rPr>
          <w:rFonts w:ascii="宋体" w:hAnsi="宋体" w:cs="宋体" w:hint="eastAsia"/>
        </w:rPr>
        <w:t xml:space="preserve">0.2 </w:t>
      </w:r>
      <w:r>
        <w:rPr>
          <w:rFonts w:ascii="宋体" w:hAnsi="宋体" w:cs="宋体" w:hint="eastAsia"/>
        </w:rPr>
        <w:t>μ</w:t>
      </w:r>
      <w:r>
        <w:rPr>
          <w:rFonts w:ascii="宋体" w:hAnsi="宋体" w:cs="宋体" w:hint="eastAsia"/>
        </w:rPr>
        <w:t>m</w:t>
      </w:r>
      <w:r>
        <w:rPr>
          <w:rFonts w:ascii="宋体" w:hAnsi="宋体" w:cs="宋体" w:hint="eastAsia"/>
        </w:rPr>
        <w:t>的颗粒物数量：</w:t>
      </w:r>
      <w:r>
        <w:rPr>
          <w:rFonts w:ascii="宋体" w:hAnsi="宋体" w:cs="宋体" w:hint="eastAsia"/>
        </w:rPr>
        <w:t>&lt;1/mL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热源含量：</w:t>
      </w:r>
      <w:r>
        <w:rPr>
          <w:rFonts w:ascii="宋体" w:hAnsi="宋体" w:cs="宋体" w:hint="eastAsia"/>
        </w:rPr>
        <w:t>&lt;0.001Eu/mL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RNases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&lt;1pg/mL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DNases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&lt;5pg/mL</w:t>
      </w:r>
    </w:p>
    <w:p w:rsidR="00452D39" w:rsidRDefault="00A33DAE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蛋白酶：</w:t>
      </w:r>
      <w:r>
        <w:rPr>
          <w:rFonts w:ascii="宋体" w:hAnsi="宋体" w:cs="宋体" w:hint="eastAsia"/>
        </w:rPr>
        <w:t>&lt;0.15</w:t>
      </w:r>
      <w:r>
        <w:rPr>
          <w:rFonts w:ascii="宋体" w:hAnsi="宋体" w:cs="宋体" w:hint="eastAsia"/>
        </w:rPr>
        <w:t>μ</w:t>
      </w:r>
      <w:r>
        <w:rPr>
          <w:rFonts w:ascii="宋体" w:hAnsi="宋体" w:cs="宋体" w:hint="eastAsia"/>
        </w:rPr>
        <w:t>g/mL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 w:hint="eastAsia"/>
        </w:rPr>
        <w:t>主机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5.1</w:t>
      </w:r>
      <w:r>
        <w:rPr>
          <w:rFonts w:ascii="宋体" w:hAnsi="宋体" w:cs="宋体" w:hint="eastAsia"/>
        </w:rPr>
        <w:t>智能化操作系统，操作界面设计如同手机或平板电脑一样直观，所有信息一触即得。自动耗材更换信息提示，所有操作步骤有图文引导，简洁高效。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5.2</w:t>
      </w:r>
      <w:r>
        <w:rPr>
          <w:rFonts w:ascii="宋体" w:hAnsi="宋体" w:cs="宋体" w:hint="eastAsia"/>
        </w:rPr>
        <w:t>系统使用新型更小颗粒的离子交换树脂，能够生产更佳的水质，并提供出厂质量证书。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5.3</w:t>
      </w:r>
      <w:r>
        <w:rPr>
          <w:rFonts w:ascii="宋体" w:hAnsi="宋体" w:cs="宋体" w:hint="eastAsia"/>
        </w:rPr>
        <w:t>纯化柱具备识别芯片，系统自动识别和记录耗材使用及更换记录。旋转卡扣式安装技术，任何人都可以进行简单安装。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5.4</w:t>
      </w:r>
      <w:r>
        <w:rPr>
          <w:rFonts w:ascii="宋体" w:hAnsi="宋体" w:cs="宋体" w:hint="eastAsia"/>
        </w:rPr>
        <w:t>标配氧化紫外灯，采用无汞环保设计，有效降低</w:t>
      </w:r>
      <w:r>
        <w:rPr>
          <w:rFonts w:ascii="宋体" w:hAnsi="宋体" w:cs="宋体" w:hint="eastAsia"/>
        </w:rPr>
        <w:t>TOC</w:t>
      </w:r>
      <w:r>
        <w:rPr>
          <w:rFonts w:ascii="宋体" w:hAnsi="宋体" w:cs="宋体" w:hint="eastAsia"/>
        </w:rPr>
        <w:t>水平。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5.5</w:t>
      </w:r>
      <w:r>
        <w:rPr>
          <w:rFonts w:ascii="宋体" w:hAnsi="宋体" w:cs="宋体" w:hint="eastAsia"/>
        </w:rPr>
        <w:t>内置独立在线</w:t>
      </w:r>
      <w:r>
        <w:rPr>
          <w:rFonts w:ascii="宋体" w:hAnsi="宋体" w:cs="宋体" w:hint="eastAsia"/>
        </w:rPr>
        <w:t>TOC</w:t>
      </w:r>
      <w:r>
        <w:rPr>
          <w:rFonts w:ascii="宋体" w:hAnsi="宋体" w:cs="宋体" w:hint="eastAsia"/>
        </w:rPr>
        <w:t>检测模块，检测范围</w:t>
      </w:r>
      <w:r>
        <w:rPr>
          <w:rFonts w:ascii="宋体" w:hAnsi="宋体" w:cs="宋体" w:hint="eastAsia"/>
        </w:rPr>
        <w:t>0.5-999ppb</w:t>
      </w:r>
      <w:r>
        <w:rPr>
          <w:rFonts w:ascii="宋体" w:hAnsi="宋体" w:cs="宋体" w:hint="eastAsia"/>
        </w:rPr>
        <w:t>，检测精度±</w:t>
      </w:r>
      <w:r>
        <w:rPr>
          <w:rFonts w:ascii="宋体" w:hAnsi="宋体" w:cs="宋体" w:hint="eastAsia"/>
        </w:rPr>
        <w:t>0.1ppb</w:t>
      </w:r>
      <w:r>
        <w:rPr>
          <w:rFonts w:ascii="宋体" w:hAnsi="宋体" w:cs="宋体" w:hint="eastAsia"/>
        </w:rPr>
        <w:t>；符合</w:t>
      </w:r>
      <w:r>
        <w:rPr>
          <w:rFonts w:ascii="宋体" w:hAnsi="宋体" w:cs="宋体" w:hint="eastAsia"/>
        </w:rPr>
        <w:t>USP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</w:rPr>
        <w:t>EP</w:t>
      </w:r>
      <w:r>
        <w:rPr>
          <w:rFonts w:ascii="宋体" w:hAnsi="宋体" w:cs="宋体" w:hint="eastAsia"/>
        </w:rPr>
        <w:t>适应性测试的</w:t>
      </w:r>
      <w:r>
        <w:rPr>
          <w:rFonts w:ascii="宋体" w:hAnsi="宋体" w:cs="宋体" w:hint="eastAsia"/>
        </w:rPr>
        <w:t>要求。附原厂校验证书</w:t>
      </w:r>
      <w:r>
        <w:rPr>
          <w:rFonts w:ascii="宋体" w:hAnsi="宋体" w:cs="宋体" w:hint="eastAsia"/>
        </w:rPr>
        <w:t>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5.6</w:t>
      </w:r>
      <w:r>
        <w:rPr>
          <w:rFonts w:ascii="宋体" w:hAnsi="宋体" w:cs="宋体" w:hint="eastAsia"/>
        </w:rPr>
        <w:t>产品是在</w:t>
      </w:r>
      <w:r>
        <w:rPr>
          <w:rFonts w:ascii="宋体" w:hAnsi="宋体" w:cs="宋体" w:hint="eastAsia"/>
        </w:rPr>
        <w:t xml:space="preserve">ISO 9001 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</w:rPr>
        <w:t xml:space="preserve">ISO 14001 </w:t>
      </w:r>
      <w:r>
        <w:rPr>
          <w:rFonts w:ascii="宋体" w:hAnsi="宋体" w:cs="宋体" w:hint="eastAsia"/>
        </w:rPr>
        <w:t>注册的生产现场内生产的，并可提供相应证书。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</w:rPr>
        <w:t>取水装置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6.1</w:t>
      </w:r>
      <w:r>
        <w:rPr>
          <w:rFonts w:ascii="宋体" w:hAnsi="宋体" w:cs="宋体" w:hint="eastAsia"/>
        </w:rPr>
        <w:t>独立的取水手臂集成彩色触摸屏，内置流量计，两种取水功能选择：定量取水</w:t>
      </w:r>
      <w:r>
        <w:rPr>
          <w:rFonts w:ascii="宋体" w:hAnsi="宋体" w:cs="宋体" w:hint="eastAsia"/>
        </w:rPr>
        <w:lastRenderedPageBreak/>
        <w:t>范围：</w:t>
      </w:r>
      <w:r>
        <w:rPr>
          <w:rFonts w:ascii="宋体" w:hAnsi="宋体" w:cs="宋体" w:hint="eastAsia"/>
        </w:rPr>
        <w:t>20mL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 w:hint="eastAsia"/>
        </w:rPr>
        <w:t>100L</w:t>
      </w:r>
      <w:r>
        <w:rPr>
          <w:rFonts w:ascii="宋体" w:hAnsi="宋体" w:cs="宋体" w:hint="eastAsia"/>
        </w:rPr>
        <w:t>，辅助定容取水范围：</w:t>
      </w:r>
      <w:r>
        <w:rPr>
          <w:rFonts w:ascii="宋体" w:hAnsi="宋体" w:cs="宋体" w:hint="eastAsia"/>
        </w:rPr>
        <w:t>50mL</w:t>
      </w:r>
      <w:r>
        <w:rPr>
          <w:rFonts w:ascii="宋体" w:hAnsi="宋体" w:cs="宋体" w:hint="eastAsia"/>
        </w:rPr>
        <w:t>～</w:t>
      </w:r>
      <w:r>
        <w:rPr>
          <w:rFonts w:ascii="宋体" w:hAnsi="宋体" w:cs="宋体" w:hint="eastAsia"/>
        </w:rPr>
        <w:t>5L</w:t>
      </w:r>
      <w:r>
        <w:rPr>
          <w:rFonts w:ascii="宋体" w:hAnsi="宋体" w:cs="宋体" w:hint="eastAsia"/>
        </w:rPr>
        <w:t>。系统最多可以连接</w:t>
      </w:r>
      <w:r>
        <w:rPr>
          <w:rFonts w:ascii="宋体" w:hAnsi="宋体" w:cs="宋体" w:hint="eastAsia"/>
        </w:rPr>
        <w:t>多</w:t>
      </w:r>
      <w:r>
        <w:rPr>
          <w:rFonts w:ascii="宋体" w:hAnsi="宋体" w:cs="宋体" w:hint="eastAsia"/>
        </w:rPr>
        <w:t>个取水臂。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有</w:t>
      </w:r>
      <w:r>
        <w:rPr>
          <w:rFonts w:ascii="宋体" w:hAnsi="宋体" w:cs="宋体" w:hint="eastAsia"/>
        </w:rPr>
        <w:t>多种</w:t>
      </w:r>
      <w:r>
        <w:rPr>
          <w:rFonts w:ascii="宋体" w:hAnsi="宋体" w:cs="宋体" w:hint="eastAsia"/>
        </w:rPr>
        <w:t>终端精制器可供选择配置，适用不同实验水质的要求，并提供原厂质量证书。每个终端精制器都带有芯片，系统能自动的识别类型和使用状态。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7.</w:t>
      </w:r>
      <w:r>
        <w:rPr>
          <w:rFonts w:ascii="宋体" w:hAnsi="宋体" w:cs="宋体" w:hint="eastAsia"/>
        </w:rPr>
        <w:t>监控系统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7.1</w:t>
      </w:r>
      <w:r>
        <w:rPr>
          <w:rFonts w:ascii="宋体" w:hAnsi="宋体" w:cs="宋体" w:hint="eastAsia"/>
        </w:rPr>
        <w:t>系统水质监测采用高精度的在线电阻率仪，电池常数</w:t>
      </w:r>
      <w:r>
        <w:rPr>
          <w:rFonts w:ascii="宋体" w:hAnsi="宋体" w:cs="宋体" w:hint="eastAsia"/>
        </w:rPr>
        <w:t xml:space="preserve">0.01cm-1, </w:t>
      </w:r>
      <w:r>
        <w:rPr>
          <w:rFonts w:ascii="宋体" w:hAnsi="宋体" w:cs="宋体" w:hint="eastAsia"/>
        </w:rPr>
        <w:t>提供电阻率检测器原厂检验证书模板，随主机提供电阻率检验证书原件。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7.2</w:t>
      </w:r>
      <w:r>
        <w:rPr>
          <w:rFonts w:ascii="宋体" w:hAnsi="宋体" w:cs="宋体" w:hint="eastAsia"/>
        </w:rPr>
        <w:t>在线检测超纯水中的</w:t>
      </w:r>
      <w:r>
        <w:rPr>
          <w:rFonts w:ascii="宋体" w:hAnsi="宋体" w:cs="宋体" w:hint="eastAsia"/>
        </w:rPr>
        <w:t xml:space="preserve">TOC. </w:t>
      </w:r>
      <w:r>
        <w:rPr>
          <w:rFonts w:ascii="宋体" w:hAnsi="宋体" w:cs="宋体" w:hint="eastAsia"/>
        </w:rPr>
        <w:t>检测范围</w:t>
      </w:r>
      <w:r>
        <w:rPr>
          <w:rFonts w:ascii="宋体" w:hAnsi="宋体" w:cs="宋体" w:hint="eastAsia"/>
        </w:rPr>
        <w:t>:0.5-999ppb</w:t>
      </w:r>
      <w:r>
        <w:rPr>
          <w:rFonts w:ascii="宋体" w:hAnsi="宋体" w:cs="宋体" w:hint="eastAsia"/>
        </w:rPr>
        <w:t>；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检测精度±</w:t>
      </w:r>
      <w:r>
        <w:rPr>
          <w:rFonts w:ascii="宋体" w:hAnsi="宋体" w:cs="宋体" w:hint="eastAsia"/>
        </w:rPr>
        <w:t>0.1ppb,</w:t>
      </w:r>
      <w:r>
        <w:rPr>
          <w:rFonts w:ascii="宋体" w:hAnsi="宋体" w:cs="宋体" w:hint="eastAsia"/>
        </w:rPr>
        <w:t>，符合</w:t>
      </w:r>
      <w:r>
        <w:rPr>
          <w:rFonts w:ascii="宋体" w:hAnsi="宋体" w:cs="宋体" w:hint="eastAsia"/>
        </w:rPr>
        <w:t>USP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</w:rPr>
        <w:t>EP</w:t>
      </w:r>
      <w:r>
        <w:rPr>
          <w:rFonts w:ascii="宋体" w:hAnsi="宋体" w:cs="宋体" w:hint="eastAsia"/>
        </w:rPr>
        <w:t>系统适应性测试。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8.</w:t>
      </w:r>
      <w:r>
        <w:rPr>
          <w:rFonts w:ascii="宋体" w:hAnsi="宋体" w:cs="宋体" w:hint="eastAsia"/>
        </w:rPr>
        <w:t>软件系统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8.1</w:t>
      </w:r>
      <w:r>
        <w:rPr>
          <w:rFonts w:ascii="宋体" w:hAnsi="宋体" w:cs="宋体" w:hint="eastAsia"/>
        </w:rPr>
        <w:t>独立的取水臂集成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寸以上彩色触摸屏，提供包含中文在内的多种语言和多客户登录管理功能，具备水质显示，取水功能设置，系统设置、维护引导，信息和历史记录等功能。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8.2</w:t>
      </w:r>
      <w:r>
        <w:rPr>
          <w:rFonts w:ascii="宋体" w:hAnsi="宋体" w:cs="宋体" w:hint="eastAsia"/>
        </w:rPr>
        <w:t>全面的数据管理系统，可为最近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天的事件提供图文预览；所有报告均</w:t>
      </w:r>
      <w:r>
        <w:rPr>
          <w:rFonts w:ascii="宋体" w:hAnsi="宋体" w:cs="宋体" w:hint="eastAsia"/>
        </w:rPr>
        <w:t>可通过</w:t>
      </w:r>
      <w:r>
        <w:rPr>
          <w:rFonts w:ascii="宋体" w:hAnsi="宋体" w:cs="宋体" w:hint="eastAsia"/>
        </w:rPr>
        <w:t>USB</w:t>
      </w:r>
      <w:r>
        <w:rPr>
          <w:rFonts w:ascii="宋体" w:hAnsi="宋体" w:cs="宋体" w:hint="eastAsia"/>
        </w:rPr>
        <w:t>端口导出，并且其打开格式适用于所有</w:t>
      </w:r>
      <w:r>
        <w:rPr>
          <w:rFonts w:ascii="宋体" w:hAnsi="宋体" w:cs="宋体" w:hint="eastAsia"/>
        </w:rPr>
        <w:t>LIMS</w:t>
      </w:r>
      <w:r>
        <w:rPr>
          <w:rFonts w:ascii="宋体" w:hAnsi="宋体" w:cs="宋体" w:hint="eastAsia"/>
        </w:rPr>
        <w:t>（实验室信息管理系统），存档功能支持质量管理系统。系统可以存储长达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年的水质数据</w:t>
      </w:r>
      <w:r>
        <w:rPr>
          <w:rFonts w:ascii="宋体" w:hAnsi="宋体" w:cs="宋体" w:hint="eastAsia"/>
        </w:rPr>
        <w:t>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8.3</w:t>
      </w:r>
      <w:r>
        <w:rPr>
          <w:rFonts w:ascii="宋体" w:hAnsi="宋体" w:cs="宋体" w:hint="eastAsia"/>
        </w:rPr>
        <w:t>可以通过其他移动设备（手机或平板电脑等）实现对系统的远程监控和远程诊断，方便操作，极大的缩短解决故障时间。</w:t>
      </w:r>
    </w:p>
    <w:p w:rsidR="00452D39" w:rsidRDefault="00A33DA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9.</w:t>
      </w:r>
      <w:r>
        <w:rPr>
          <w:rFonts w:ascii="宋体" w:hAnsi="宋体" w:cs="宋体" w:hint="eastAsia"/>
        </w:rPr>
        <w:t>提供多种类型的服务计划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该计划包括具有</w:t>
      </w:r>
      <w:r>
        <w:rPr>
          <w:rFonts w:ascii="宋体" w:hAnsi="宋体" w:cs="宋体" w:hint="eastAsia"/>
        </w:rPr>
        <w:t>IQ,OQ,MP</w:t>
      </w:r>
      <w:r>
        <w:rPr>
          <w:rFonts w:ascii="宋体" w:hAnsi="宋体" w:cs="宋体" w:hint="eastAsia"/>
        </w:rPr>
        <w:t>（维护程序）和</w:t>
      </w:r>
      <w:r>
        <w:rPr>
          <w:rFonts w:ascii="宋体" w:hAnsi="宋体" w:cs="宋体" w:hint="eastAsia"/>
        </w:rPr>
        <w:t>PQ</w:t>
      </w:r>
      <w:r>
        <w:rPr>
          <w:rFonts w:ascii="宋体" w:hAnsi="宋体" w:cs="宋体" w:hint="eastAsia"/>
        </w:rPr>
        <w:t>文件示例的确认文本、验证、质量和校准证书有助于满足</w:t>
      </w:r>
      <w:r>
        <w:rPr>
          <w:rFonts w:ascii="宋体" w:hAnsi="宋体" w:cs="宋体" w:hint="eastAsia"/>
        </w:rPr>
        <w:t>GLP</w:t>
      </w:r>
      <w:r>
        <w:rPr>
          <w:rFonts w:ascii="宋体" w:hAnsi="宋体" w:cs="宋体" w:hint="eastAsia"/>
        </w:rPr>
        <w:t>和</w:t>
      </w:r>
      <w:r>
        <w:rPr>
          <w:rFonts w:ascii="宋体" w:hAnsi="宋体" w:cs="宋体" w:hint="eastAsia"/>
        </w:rPr>
        <w:t>cGMP</w:t>
      </w:r>
      <w:r>
        <w:rPr>
          <w:rFonts w:ascii="宋体" w:hAnsi="宋体" w:cs="宋体" w:hint="eastAsia"/>
        </w:rPr>
        <w:t>的合规性。</w:t>
      </w:r>
    </w:p>
    <w:p w:rsidR="00452D39" w:rsidRDefault="00452D39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p w:rsidR="006D6E67" w:rsidRDefault="006D6E67">
      <w:pPr>
        <w:rPr>
          <w:rFonts w:hint="eastAsia"/>
        </w:rPr>
      </w:pPr>
    </w:p>
    <w:tbl>
      <w:tblPr>
        <w:tblpPr w:leftFromText="180" w:rightFromText="180" w:vertAnchor="text" w:horzAnchor="page" w:tblpXSpec="center" w:tblpY="39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090"/>
        <w:gridCol w:w="709"/>
        <w:gridCol w:w="6598"/>
      </w:tblGrid>
      <w:tr w:rsidR="006D6E67" w:rsidTr="000B66B4">
        <w:trPr>
          <w:trHeight w:val="251"/>
          <w:jc w:val="center"/>
        </w:trPr>
        <w:tc>
          <w:tcPr>
            <w:tcW w:w="718" w:type="dxa"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评审类别</w:t>
            </w:r>
          </w:p>
        </w:tc>
        <w:tc>
          <w:tcPr>
            <w:tcW w:w="8397" w:type="dxa"/>
            <w:gridSpan w:val="3"/>
            <w:vAlign w:val="center"/>
          </w:tcPr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评审规则</w:t>
            </w:r>
          </w:p>
        </w:tc>
      </w:tr>
      <w:tr w:rsidR="006D6E67" w:rsidTr="000B66B4">
        <w:trPr>
          <w:trHeight w:val="620"/>
          <w:jc w:val="center"/>
        </w:trPr>
        <w:tc>
          <w:tcPr>
            <w:tcW w:w="718" w:type="dxa"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价格30分</w:t>
            </w:r>
          </w:p>
        </w:tc>
        <w:tc>
          <w:tcPr>
            <w:tcW w:w="1090" w:type="dxa"/>
            <w:vAlign w:val="center"/>
          </w:tcPr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价格</w:t>
            </w:r>
          </w:p>
        </w:tc>
        <w:tc>
          <w:tcPr>
            <w:tcW w:w="709" w:type="dxa"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30分</w:t>
            </w:r>
          </w:p>
        </w:tc>
        <w:tc>
          <w:tcPr>
            <w:tcW w:w="6598" w:type="dxa"/>
          </w:tcPr>
          <w:p w:rsidR="006D6E67" w:rsidRDefault="006D6E67" w:rsidP="006D6E67">
            <w:pPr>
              <w:spacing w:line="300" w:lineRule="exact"/>
              <w:ind w:left="460" w:hangingChars="200" w:hanging="46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1、满足采购文件要求且投标价格最低的投标报价为评标基准价 (D)，其价格分为满分(30 分)</w:t>
            </w:r>
          </w:p>
          <w:p w:rsidR="006D6E67" w:rsidRDefault="006D6E67" w:rsidP="006D6E67">
            <w:pPr>
              <w:spacing w:line="300" w:lineRule="exact"/>
              <w:ind w:left="460" w:hangingChars="200" w:hanging="46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2、其他合格投标人的投标报价得分按如下公式计算：</w:t>
            </w:r>
          </w:p>
          <w:p w:rsidR="006D6E67" w:rsidRDefault="006D6E67" w:rsidP="006D6E67">
            <w:pPr>
              <w:spacing w:line="300" w:lineRule="exact"/>
              <w:ind w:firstLineChars="130" w:firstLine="299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投标报价得分=(评标基准价D／投标报价V)×30</w:t>
            </w:r>
          </w:p>
        </w:tc>
      </w:tr>
      <w:tr w:rsidR="006D6E67" w:rsidTr="000B66B4">
        <w:trPr>
          <w:trHeight w:val="733"/>
          <w:jc w:val="center"/>
        </w:trPr>
        <w:tc>
          <w:tcPr>
            <w:tcW w:w="718" w:type="dxa"/>
            <w:vMerge w:val="restart"/>
            <w:vAlign w:val="center"/>
          </w:tcPr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商务部分5分</w:t>
            </w:r>
          </w:p>
        </w:tc>
        <w:tc>
          <w:tcPr>
            <w:tcW w:w="1090" w:type="dxa"/>
            <w:vAlign w:val="center"/>
          </w:tcPr>
          <w:p w:rsidR="006D6E67" w:rsidRDefault="006D6E67" w:rsidP="000B66B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highlight w:val="green"/>
              </w:rPr>
            </w:pPr>
            <w:r>
              <w:rPr>
                <w:rFonts w:ascii="宋体" w:hAnsi="宋体" w:cs="宋体" w:hint="eastAsia"/>
              </w:rPr>
              <w:t>质保期</w:t>
            </w:r>
          </w:p>
        </w:tc>
        <w:tc>
          <w:tcPr>
            <w:tcW w:w="709" w:type="dxa"/>
            <w:vAlign w:val="center"/>
          </w:tcPr>
          <w:p w:rsidR="006D6E67" w:rsidRDefault="006D6E67" w:rsidP="000B66B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highlight w:val="green"/>
              </w:rPr>
            </w:pPr>
            <w:r>
              <w:rPr>
                <w:rFonts w:ascii="宋体" w:hAnsi="宋体" w:cs="宋体" w:hint="eastAsia"/>
              </w:rPr>
              <w:t>3分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adjustRightInd w:val="0"/>
              <w:snapToGrid w:val="0"/>
              <w:rPr>
                <w:color w:val="000000"/>
                <w:highlight w:val="green"/>
              </w:rPr>
            </w:pPr>
            <w:r>
              <w:rPr>
                <w:rFonts w:ascii="宋体" w:hAnsi="宋体" w:cs="宋体" w:hint="eastAsia"/>
              </w:rPr>
              <w:t>投标人所投设备质保期在满足采购人需求的基础上，每增加一年得1.5分，最多得3分。</w:t>
            </w:r>
          </w:p>
        </w:tc>
      </w:tr>
      <w:tr w:rsidR="006D6E67" w:rsidTr="000B66B4">
        <w:trPr>
          <w:trHeight w:val="90"/>
          <w:jc w:val="center"/>
        </w:trPr>
        <w:tc>
          <w:tcPr>
            <w:tcW w:w="718" w:type="dxa"/>
            <w:vMerge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0" w:type="dxa"/>
            <w:vAlign w:val="center"/>
          </w:tcPr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color w:val="000000"/>
              </w:rPr>
              <w:t>文件制作</w:t>
            </w:r>
          </w:p>
        </w:tc>
        <w:tc>
          <w:tcPr>
            <w:tcW w:w="709" w:type="dxa"/>
            <w:vAlign w:val="center"/>
          </w:tcPr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投标文件应该为不可拆卸的胶装，制作规范，编制完整、详细、清晰；逐页有连续页码，查阅方便，对招标文件规定要求提交的技术资料完整齐全得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分，有缺陷、不完整、前后不一、查阅困难的，每出现一项减</w:t>
            </w:r>
            <w:r>
              <w:rPr>
                <w:rFonts w:hint="eastAsia"/>
                <w:color w:val="000000"/>
              </w:rPr>
              <w:t>0.5-1</w:t>
            </w:r>
            <w:r>
              <w:rPr>
                <w:rFonts w:hint="eastAsia"/>
                <w:color w:val="000000"/>
              </w:rPr>
              <w:t>分，最低得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分。</w:t>
            </w:r>
          </w:p>
        </w:tc>
      </w:tr>
      <w:tr w:rsidR="006D6E67" w:rsidTr="000B66B4">
        <w:trPr>
          <w:trHeight w:val="567"/>
          <w:jc w:val="center"/>
        </w:trPr>
        <w:tc>
          <w:tcPr>
            <w:tcW w:w="718" w:type="dxa"/>
            <w:vMerge w:val="restart"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技术部分65分</w:t>
            </w:r>
          </w:p>
        </w:tc>
        <w:tc>
          <w:tcPr>
            <w:tcW w:w="1090" w:type="dxa"/>
            <w:vAlign w:val="center"/>
          </w:tcPr>
          <w:p w:rsidR="006D6E67" w:rsidRDefault="006D6E67" w:rsidP="000B66B4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lang w:val="en-GB"/>
              </w:rPr>
            </w:pPr>
            <w:r>
              <w:rPr>
                <w:rFonts w:ascii="宋体" w:hAnsi="宋体" w:cs="宋体" w:hint="eastAsia"/>
              </w:rPr>
              <w:t>投标产品技术响应、主要参数和其他重要性能指标情况</w:t>
            </w:r>
          </w:p>
        </w:tc>
        <w:tc>
          <w:tcPr>
            <w:tcW w:w="709" w:type="dxa"/>
            <w:vAlign w:val="center"/>
          </w:tcPr>
          <w:p w:rsidR="006D6E67" w:rsidRDefault="006D6E67" w:rsidP="000B66B4"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lang w:val="en-GB"/>
              </w:rPr>
            </w:pPr>
            <w:r>
              <w:rPr>
                <w:rFonts w:ascii="宋体" w:hAnsi="宋体" w:cs="宋体" w:hint="eastAsia"/>
              </w:rPr>
              <w:t>45</w:t>
            </w:r>
            <w:r>
              <w:rPr>
                <w:color w:val="000000"/>
              </w:rPr>
              <w:t>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spacing w:line="300" w:lineRule="exact"/>
            </w:pPr>
            <w:r>
              <w:rPr>
                <w:rFonts w:hint="eastAsia"/>
                <w:color w:val="000000"/>
              </w:rPr>
              <w:t>投标产品技术规格符合招标文件要求，能完全满足使用要求得满分</w:t>
            </w:r>
            <w:r>
              <w:rPr>
                <w:rFonts w:hint="eastAsia"/>
                <w:color w:val="000000"/>
              </w:rPr>
              <w:t>45</w:t>
            </w:r>
            <w:r>
              <w:rPr>
                <w:rFonts w:hint="eastAsia"/>
                <w:color w:val="000000"/>
              </w:rPr>
              <w:t>分。如设备参数及技术规格低于招标文件要求，即为负偏离。每项一般参数负偏离减</w:t>
            </w:r>
            <w:r>
              <w:rPr>
                <w:rFonts w:hint="eastAsia"/>
                <w:color w:val="000000"/>
              </w:rPr>
              <w:t xml:space="preserve">1 </w:t>
            </w:r>
            <w:r>
              <w:rPr>
                <w:rFonts w:hint="eastAsia"/>
                <w:color w:val="000000"/>
              </w:rPr>
              <w:t>分。每项带星号“</w:t>
            </w:r>
            <w:r>
              <w:rPr>
                <w:rFonts w:ascii="宋体" w:hAnsi="宋体" w:cs="宋体"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>”的关键技术参数负偏离减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分。最低得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分。技术参数中有具体参数值或带星号“</w:t>
            </w:r>
            <w:r>
              <w:rPr>
                <w:rFonts w:ascii="宋体" w:hAnsi="宋体" w:cs="宋体" w:hint="eastAsia"/>
                <w:color w:val="000000"/>
              </w:rPr>
              <w:t>★</w:t>
            </w:r>
            <w:r>
              <w:rPr>
                <w:rFonts w:hint="eastAsia"/>
                <w:color w:val="000000"/>
              </w:rPr>
              <w:t>”的关键技术参数须提供相关技术资料。技术资料以该产品制造商出具的技术白皮书（须由货物生产商或其直属机构盖章）、制造商公开发布的印刷资料或第三方机构出具的检测报告为准。未提供的，视作不响应。</w:t>
            </w:r>
          </w:p>
        </w:tc>
      </w:tr>
      <w:tr w:rsidR="006D6E67" w:rsidTr="000B66B4">
        <w:trPr>
          <w:trHeight w:val="203"/>
          <w:jc w:val="center"/>
        </w:trPr>
        <w:tc>
          <w:tcPr>
            <w:tcW w:w="718" w:type="dxa"/>
            <w:vMerge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0" w:type="dxa"/>
            <w:vAlign w:val="center"/>
          </w:tcPr>
          <w:p w:rsidR="006D6E67" w:rsidRDefault="006D6E67" w:rsidP="000B66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调试与验收方案</w:t>
            </w:r>
          </w:p>
        </w:tc>
        <w:tc>
          <w:tcPr>
            <w:tcW w:w="709" w:type="dxa"/>
            <w:vAlign w:val="center"/>
          </w:tcPr>
          <w:p w:rsidR="006D6E67" w:rsidRDefault="006D6E67" w:rsidP="000B66B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根据各投标人提供的调试与验收方案，包括检验方法、调试方案、调试人员安排、验收进度计划、验收建议书，符合有关行业规定</w:t>
            </w:r>
            <w:r>
              <w:rPr>
                <w:rFonts w:ascii="宋体" w:hAnsi="宋体" w:hint="eastAsia"/>
              </w:rPr>
              <w:t>且科学合理可行的得5分，每缺少一项内容减2分，出现一项不合理的内容减0.5-1分，最低得0分，未提供</w:t>
            </w:r>
            <w:r>
              <w:rPr>
                <w:rFonts w:ascii="宋体" w:hAnsi="宋体" w:cs="宋体" w:hint="eastAsia"/>
              </w:rPr>
              <w:t>检验、调试与验收方案</w:t>
            </w:r>
            <w:r>
              <w:rPr>
                <w:rFonts w:ascii="宋体" w:hAnsi="宋体" w:hint="eastAsia"/>
              </w:rPr>
              <w:t>方案的不得分。</w:t>
            </w:r>
          </w:p>
        </w:tc>
      </w:tr>
      <w:tr w:rsidR="006D6E67" w:rsidTr="000B66B4">
        <w:trPr>
          <w:trHeight w:val="333"/>
          <w:jc w:val="center"/>
        </w:trPr>
        <w:tc>
          <w:tcPr>
            <w:tcW w:w="718" w:type="dxa"/>
            <w:vMerge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0" w:type="dxa"/>
            <w:vAlign w:val="center"/>
          </w:tcPr>
          <w:p w:rsidR="006D6E67" w:rsidRDefault="006D6E67" w:rsidP="000B66B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培训计划</w:t>
            </w:r>
          </w:p>
        </w:tc>
        <w:tc>
          <w:tcPr>
            <w:tcW w:w="709" w:type="dxa"/>
            <w:vAlign w:val="center"/>
          </w:tcPr>
          <w:p w:rsidR="006D6E67" w:rsidRDefault="006D6E67" w:rsidP="000B66B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color w:val="000000"/>
              </w:rPr>
              <w:t>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投标人提供的培训服务方案包含培训计划、培训内容、培训方式、培训人员数量等方面，且科学合理可行的得5分，每缺少一项内容减2分，出现一项不合理的内容减0.5-1分，最低得0分，未提供培训计划的不得分。</w:t>
            </w:r>
          </w:p>
        </w:tc>
      </w:tr>
      <w:tr w:rsidR="006D6E67" w:rsidTr="000B66B4">
        <w:trPr>
          <w:trHeight w:val="360"/>
          <w:jc w:val="center"/>
        </w:trPr>
        <w:tc>
          <w:tcPr>
            <w:tcW w:w="718" w:type="dxa"/>
            <w:vMerge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0" w:type="dxa"/>
            <w:vMerge w:val="restart"/>
            <w:vAlign w:val="center"/>
          </w:tcPr>
          <w:p w:rsidR="006D6E67" w:rsidRDefault="006D6E67" w:rsidP="006D6E67">
            <w:pPr>
              <w:adjustRightInd w:val="0"/>
              <w:snapToGrid w:val="0"/>
              <w:ind w:leftChars="-50" w:left="-115" w:rightChars="-50" w:right="-115"/>
              <w:jc w:val="center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售后服务</w:t>
            </w:r>
          </w:p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6E67" w:rsidRDefault="006D6E67" w:rsidP="006D6E67">
            <w:pPr>
              <w:adjustRightInd w:val="0"/>
              <w:snapToGrid w:val="0"/>
              <w:ind w:leftChars="-50" w:left="-115" w:rightChars="-50" w:right="-1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autoSpaceDE w:val="0"/>
              <w:autoSpaceDN w:val="0"/>
              <w:adjustRightInd w:val="0"/>
              <w:snapToGrid w:val="0"/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根据投标人提供的售后服务保证措施：包含质保期内售后巡检、服务响应时间、零配件及备品备件供应等方面，且详实合理可行的得6分，每缺少1项减2分，出现一项不合理的得减0.5-1分，未提供售后服务保证措施的得0分。</w:t>
            </w:r>
          </w:p>
        </w:tc>
      </w:tr>
      <w:tr w:rsidR="006D6E67" w:rsidTr="000B66B4">
        <w:trPr>
          <w:trHeight w:val="570"/>
          <w:jc w:val="center"/>
        </w:trPr>
        <w:tc>
          <w:tcPr>
            <w:tcW w:w="718" w:type="dxa"/>
            <w:vMerge/>
            <w:vAlign w:val="center"/>
          </w:tcPr>
          <w:p w:rsidR="006D6E67" w:rsidRDefault="006D6E67" w:rsidP="000B66B4">
            <w:pPr>
              <w:spacing w:line="300" w:lineRule="exac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0" w:type="dxa"/>
            <w:vMerge/>
            <w:vAlign w:val="center"/>
          </w:tcPr>
          <w:p w:rsidR="006D6E67" w:rsidRDefault="006D6E67" w:rsidP="000B66B4">
            <w:pPr>
              <w:spacing w:line="3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D6E67" w:rsidRDefault="006D6E67" w:rsidP="006D6E67">
            <w:pPr>
              <w:adjustRightInd w:val="0"/>
              <w:snapToGrid w:val="0"/>
              <w:ind w:leftChars="-50" w:left="-115" w:rightChars="-50" w:right="-115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分</w:t>
            </w:r>
          </w:p>
        </w:tc>
        <w:tc>
          <w:tcPr>
            <w:tcW w:w="6598" w:type="dxa"/>
            <w:vAlign w:val="center"/>
          </w:tcPr>
          <w:p w:rsidR="006D6E67" w:rsidRDefault="006D6E67" w:rsidP="000B66B4">
            <w:pPr>
              <w:adjustRightInd w:val="0"/>
              <w:snapToGrid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供应商在采购人所在地设立自有的公司级别的售后服务机构（含分公司或子公司），得4分，需提供公司关联说明、相关营业执</w:t>
            </w:r>
            <w:r>
              <w:rPr>
                <w:rFonts w:ascii="宋体" w:hAnsi="宋体" w:cs="宋体" w:hint="eastAsia"/>
              </w:rPr>
              <w:lastRenderedPageBreak/>
              <w:t>照证书、服务人员等，未按照要求提供的不得分。具备非自有售后服务机构的得4分，需提供经双方法人签字盖章的售后服务协议彩色扫描件、售后服务机构的相关营业执照证书（加盖双方公章）、服务人员等，未按照要求提供的不得分。</w:t>
            </w:r>
          </w:p>
        </w:tc>
      </w:tr>
      <w:tr w:rsidR="006D6E67" w:rsidTr="000B66B4">
        <w:trPr>
          <w:trHeight w:val="510"/>
          <w:jc w:val="center"/>
        </w:trPr>
        <w:tc>
          <w:tcPr>
            <w:tcW w:w="1808" w:type="dxa"/>
            <w:gridSpan w:val="2"/>
            <w:vAlign w:val="center"/>
          </w:tcPr>
          <w:p w:rsidR="006D6E67" w:rsidRDefault="006D6E67" w:rsidP="000B66B4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总分</w:t>
            </w:r>
          </w:p>
        </w:tc>
        <w:tc>
          <w:tcPr>
            <w:tcW w:w="7307" w:type="dxa"/>
            <w:gridSpan w:val="2"/>
            <w:vAlign w:val="center"/>
          </w:tcPr>
          <w:p w:rsidR="006D6E67" w:rsidRDefault="006D6E67" w:rsidP="000B66B4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分</w:t>
            </w:r>
          </w:p>
        </w:tc>
      </w:tr>
    </w:tbl>
    <w:p w:rsidR="006D6E67" w:rsidRDefault="006D6E67"/>
    <w:sectPr w:rsidR="006D6E67" w:rsidSect="0045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AE" w:rsidRDefault="00A33DAE" w:rsidP="006D6E67">
      <w:pPr>
        <w:spacing w:line="240" w:lineRule="auto"/>
      </w:pPr>
      <w:r>
        <w:separator/>
      </w:r>
    </w:p>
  </w:endnote>
  <w:endnote w:type="continuationSeparator" w:id="1">
    <w:p w:rsidR="00A33DAE" w:rsidRDefault="00A33DAE" w:rsidP="006D6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AE" w:rsidRDefault="00A33DAE" w:rsidP="006D6E67">
      <w:pPr>
        <w:spacing w:line="240" w:lineRule="auto"/>
      </w:pPr>
      <w:r>
        <w:separator/>
      </w:r>
    </w:p>
  </w:footnote>
  <w:footnote w:type="continuationSeparator" w:id="1">
    <w:p w:rsidR="00A33DAE" w:rsidRDefault="00A33DAE" w:rsidP="006D6E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27C113"/>
    <w:multiLevelType w:val="singleLevel"/>
    <w:tmpl w:val="AE27C11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66DE0E"/>
    <w:multiLevelType w:val="singleLevel"/>
    <w:tmpl w:val="3A66DE0E"/>
    <w:lvl w:ilvl="0">
      <w:start w:val="1"/>
      <w:numFmt w:val="decimal"/>
      <w:suff w:val="nothing"/>
      <w:lvlText w:val="4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D39"/>
    <w:rsid w:val="00452D39"/>
    <w:rsid w:val="006D6E67"/>
    <w:rsid w:val="00A33DAE"/>
    <w:rsid w:val="05471BBF"/>
    <w:rsid w:val="05CF6B59"/>
    <w:rsid w:val="05FB5380"/>
    <w:rsid w:val="10DF756D"/>
    <w:rsid w:val="12FD5AE8"/>
    <w:rsid w:val="15D26043"/>
    <w:rsid w:val="2607390F"/>
    <w:rsid w:val="37C56D70"/>
    <w:rsid w:val="4E7E40AC"/>
    <w:rsid w:val="52D93196"/>
    <w:rsid w:val="5DA04290"/>
    <w:rsid w:val="6168577B"/>
    <w:rsid w:val="6DAC6636"/>
    <w:rsid w:val="71D70276"/>
    <w:rsid w:val="7D75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D39"/>
    <w:pPr>
      <w:widowControl w:val="0"/>
      <w:spacing w:line="312" w:lineRule="auto"/>
      <w:jc w:val="both"/>
    </w:pPr>
    <w:rPr>
      <w:kern w:val="2"/>
      <w:sz w:val="23"/>
      <w:szCs w:val="22"/>
    </w:rPr>
  </w:style>
  <w:style w:type="paragraph" w:styleId="1">
    <w:name w:val="heading 1"/>
    <w:basedOn w:val="a"/>
    <w:next w:val="a"/>
    <w:qFormat/>
    <w:rsid w:val="00452D39"/>
    <w:pPr>
      <w:kinsoku w:val="0"/>
      <w:overflowPunct w:val="0"/>
      <w:autoSpaceDE w:val="0"/>
      <w:autoSpaceDN w:val="0"/>
      <w:adjustRightInd w:val="0"/>
      <w:spacing w:line="0" w:lineRule="atLeast"/>
      <w:ind w:left="119"/>
      <w:jc w:val="center"/>
      <w:outlineLvl w:val="0"/>
    </w:pPr>
    <w:rPr>
      <w:rFonts w:ascii="华文中宋" w:hAnsi="华文中宋"/>
      <w:color w:val="000000"/>
      <w:kern w:val="0"/>
      <w:sz w:val="36"/>
      <w:szCs w:val="20"/>
    </w:rPr>
  </w:style>
  <w:style w:type="paragraph" w:styleId="2">
    <w:name w:val="heading 2"/>
    <w:basedOn w:val="a"/>
    <w:next w:val="a"/>
    <w:uiPriority w:val="9"/>
    <w:unhideWhenUsed/>
    <w:qFormat/>
    <w:rsid w:val="00452D39"/>
    <w:pPr>
      <w:keepNext/>
      <w:keepLines/>
      <w:spacing w:line="0" w:lineRule="atLeast"/>
      <w:jc w:val="left"/>
      <w:outlineLvl w:val="1"/>
    </w:pPr>
    <w:rPr>
      <w:rFonts w:asciiTheme="majorHAnsi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6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6E67"/>
    <w:rPr>
      <w:kern w:val="2"/>
      <w:sz w:val="18"/>
      <w:szCs w:val="18"/>
    </w:rPr>
  </w:style>
  <w:style w:type="paragraph" w:styleId="a4">
    <w:name w:val="footer"/>
    <w:basedOn w:val="a"/>
    <w:link w:val="Char0"/>
    <w:rsid w:val="006D6E6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6E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leovo</cp:lastModifiedBy>
  <cp:revision>2</cp:revision>
  <dcterms:created xsi:type="dcterms:W3CDTF">2020-07-13T08:50:00Z</dcterms:created>
  <dcterms:modified xsi:type="dcterms:W3CDTF">2020-08-03T07:28:00Z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