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44"/>
          <w:szCs w:val="44"/>
        </w:rPr>
      </w:pPr>
      <w:r>
        <w:rPr>
          <w:rFonts w:hint="eastAsia" w:ascii="宋体" w:hAnsi="宋体" w:eastAsia="宋体" w:cs="宋体"/>
          <w:sz w:val="44"/>
          <w:szCs w:val="44"/>
        </w:rPr>
        <w:t>武汉市</w:t>
      </w:r>
      <w:r>
        <w:rPr>
          <w:rFonts w:hint="eastAsia" w:ascii="宋体" w:hAnsi="宋体" w:eastAsia="宋体" w:cs="宋体"/>
          <w:sz w:val="44"/>
          <w:szCs w:val="44"/>
          <w:lang w:eastAsia="zh-CN"/>
        </w:rPr>
        <w:t>疾控中心一体机展示平台</w:t>
      </w:r>
      <w:r>
        <w:rPr>
          <w:rFonts w:hint="eastAsia" w:ascii="宋体" w:hAnsi="宋体" w:eastAsia="宋体" w:cs="宋体"/>
          <w:sz w:val="44"/>
          <w:szCs w:val="44"/>
        </w:rPr>
        <w:t>项目</w:t>
      </w:r>
    </w:p>
    <w:p/>
    <w:p>
      <w:pPr>
        <w:pStyle w:val="2"/>
        <w:pageBreakBefore w:val="0"/>
        <w:numPr>
          <w:ilvl w:val="0"/>
          <w:numId w:val="3"/>
        </w:numPr>
        <w:adjustRightInd w:val="0"/>
        <w:snapToGrid w:val="0"/>
        <w:spacing w:before="360" w:afterLines="0"/>
        <w:ind w:left="432" w:hanging="432"/>
        <w:jc w:val="both"/>
        <w:textAlignment w:val="baseline"/>
        <w:rPr>
          <w:rFonts w:eastAsia="仿宋_GB2312" w:cs="Times New Roman"/>
          <w:bCs/>
          <w:color w:val="auto"/>
          <w:szCs w:val="36"/>
        </w:rPr>
      </w:pPr>
      <w:r>
        <w:rPr>
          <w:rFonts w:hint="eastAsia" w:eastAsia="仿宋_GB2312" w:cs="Times New Roman"/>
          <w:bCs/>
          <w:color w:val="auto"/>
          <w:szCs w:val="36"/>
        </w:rPr>
        <w:t xml:space="preserve"> </w:t>
      </w:r>
      <w:bookmarkStart w:id="0" w:name="_Toc272445030"/>
      <w:r>
        <w:rPr>
          <w:rFonts w:hint="eastAsia" w:eastAsia="仿宋_GB2312" w:cs="Times New Roman"/>
          <w:bCs/>
          <w:color w:val="auto"/>
          <w:szCs w:val="36"/>
        </w:rPr>
        <w:t>项目概述</w:t>
      </w:r>
      <w:bookmarkEnd w:id="0"/>
    </w:p>
    <w:p>
      <w:pPr>
        <w:pStyle w:val="3"/>
        <w:numPr>
          <w:ilvl w:val="1"/>
          <w:numId w:val="3"/>
        </w:numPr>
        <w:adjustRightInd w:val="0"/>
        <w:snapToGrid w:val="0"/>
        <w:spacing w:before="240" w:after="120" w:line="240" w:lineRule="auto"/>
        <w:ind w:left="576" w:hanging="576"/>
        <w:textAlignment w:val="baseline"/>
        <w:rPr>
          <w:rFonts w:ascii="楷体" w:hAnsi="楷体" w:eastAsia="楷体" w:cs="楷体"/>
          <w:sz w:val="36"/>
        </w:rPr>
      </w:pPr>
      <w:r>
        <w:rPr>
          <w:rFonts w:hint="eastAsia" w:ascii="楷体" w:hAnsi="楷体" w:eastAsia="楷体" w:cs="楷体"/>
          <w:sz w:val="36"/>
        </w:rPr>
        <w:t>项目简介</w:t>
      </w:r>
    </w:p>
    <w:p>
      <w:pPr>
        <w:pStyle w:val="16"/>
        <w:spacing w:line="560" w:lineRule="exact"/>
        <w:ind w:firstLine="480"/>
        <w:rPr>
          <w:rFonts w:hint="eastAsia" w:ascii="宋体" w:hAnsi="宋体" w:eastAsia="宋体"/>
          <w:sz w:val="24"/>
          <w:szCs w:val="24"/>
        </w:rPr>
      </w:pPr>
      <w:r>
        <w:rPr>
          <w:rFonts w:hint="eastAsia" w:ascii="宋体" w:hAnsi="宋体" w:eastAsia="宋体"/>
          <w:sz w:val="24"/>
          <w:szCs w:val="24"/>
        </w:rPr>
        <w:t>武汉市疾病预防控制中心是武汉市政府履行疾病预防控制和公共卫生技术管理与服务、卫生监督技术支撑的公益性卫生事业单位，是武汉地区突发公共卫生事件应急处置、疾病预防与控制、疫情报告与信息管理、健康危害因素监测与干预、卫生检测与评价、卫生技术服务与质量控制、健康教育与健康促进、科研与专业技术指导培训中心。</w:t>
      </w:r>
    </w:p>
    <w:p>
      <w:pPr>
        <w:pStyle w:val="16"/>
        <w:spacing w:line="560" w:lineRule="exact"/>
        <w:ind w:firstLine="480"/>
        <w:rPr>
          <w:rFonts w:hint="eastAsia" w:ascii="宋体" w:hAnsi="宋体" w:eastAsia="宋体"/>
          <w:sz w:val="24"/>
          <w:szCs w:val="24"/>
        </w:rPr>
      </w:pPr>
      <w:bookmarkStart w:id="1" w:name="OLE_LINK2"/>
      <w:r>
        <w:rPr>
          <w:rFonts w:hint="eastAsia" w:ascii="宋体" w:hAnsi="宋体" w:eastAsia="宋体"/>
          <w:sz w:val="24"/>
          <w:szCs w:val="24"/>
          <w:lang w:eastAsia="zh-CN"/>
        </w:rPr>
        <w:t>为适应新时代健康武汉建设的总体要求，进一步加强中心信息化建设，加强中心各类数据信息整合</w:t>
      </w:r>
      <w:bookmarkEnd w:id="1"/>
      <w:r>
        <w:rPr>
          <w:rFonts w:hint="eastAsia" w:ascii="宋体" w:hAnsi="宋体" w:eastAsia="宋体"/>
          <w:sz w:val="24"/>
          <w:szCs w:val="24"/>
          <w:lang w:eastAsia="zh-CN"/>
        </w:rPr>
        <w:t>，形成中心各类工作信息枢纽，以便更好了解各项工作进展及动态，全面促进各项工作开展，充分发挥信息互联互通的作用。</w:t>
      </w:r>
    </w:p>
    <w:p>
      <w:pPr>
        <w:pStyle w:val="16"/>
        <w:spacing w:line="560" w:lineRule="exact"/>
        <w:ind w:firstLine="480"/>
        <w:rPr>
          <w:rFonts w:hint="eastAsia" w:ascii="宋体" w:hAnsi="宋体" w:eastAsia="宋体"/>
          <w:sz w:val="24"/>
          <w:szCs w:val="24"/>
        </w:rPr>
      </w:pPr>
      <w:bookmarkStart w:id="20" w:name="_GoBack"/>
      <w:bookmarkEnd w:id="20"/>
    </w:p>
    <w:p>
      <w:pPr>
        <w:pStyle w:val="3"/>
        <w:numPr>
          <w:ilvl w:val="1"/>
          <w:numId w:val="3"/>
        </w:numPr>
        <w:adjustRightInd w:val="0"/>
        <w:snapToGrid w:val="0"/>
        <w:spacing w:before="240" w:after="120" w:line="240" w:lineRule="auto"/>
        <w:ind w:left="576" w:hanging="576"/>
        <w:textAlignment w:val="baseline"/>
        <w:rPr>
          <w:rFonts w:ascii="楷体" w:hAnsi="楷体" w:eastAsia="楷体" w:cs="楷体"/>
          <w:sz w:val="36"/>
        </w:rPr>
      </w:pPr>
      <w:bookmarkStart w:id="2" w:name="_Toc272445032"/>
      <w:r>
        <w:rPr>
          <w:rFonts w:hint="eastAsia" w:ascii="楷体" w:hAnsi="楷体" w:eastAsia="楷体" w:cs="楷体"/>
          <w:sz w:val="36"/>
        </w:rPr>
        <w:t>建设目标</w:t>
      </w:r>
      <w:bookmarkEnd w:id="2"/>
    </w:p>
    <w:p>
      <w:pPr>
        <w:pStyle w:val="16"/>
        <w:spacing w:line="560" w:lineRule="exact"/>
        <w:ind w:firstLine="480"/>
        <w:rPr>
          <w:rFonts w:ascii="宋体" w:hAnsi="宋体" w:eastAsia="宋体"/>
          <w:color w:val="FF0000"/>
          <w:sz w:val="24"/>
          <w:szCs w:val="24"/>
        </w:rPr>
      </w:pPr>
      <w:r>
        <w:rPr>
          <w:rFonts w:hint="eastAsia" w:ascii="宋体" w:hAnsi="宋体" w:eastAsia="宋体"/>
          <w:color w:val="FF0000"/>
          <w:sz w:val="24"/>
          <w:szCs w:val="24"/>
          <w:lang w:val="en-US" w:eastAsia="zh-CN"/>
        </w:rPr>
        <w:t xml:space="preserve"> </w:t>
      </w:r>
      <w:r>
        <w:rPr>
          <w:rFonts w:hint="eastAsia" w:ascii="宋体" w:hAnsi="宋体" w:eastAsia="宋体"/>
          <w:sz w:val="24"/>
          <w:szCs w:val="24"/>
          <w:lang w:eastAsia="zh-CN"/>
        </w:rPr>
        <w:t>基于武汉市疾控中心现有网络环境及硬件条件，整合各业务系统数据，参考中心官网功能，开发疾控业务地图展示，升级后台管理、大数据分析等功能满足工作中的业务数据需求。</w:t>
      </w:r>
    </w:p>
    <w:p>
      <w:pPr>
        <w:pStyle w:val="16"/>
        <w:ind w:left="0" w:leftChars="0" w:firstLine="0" w:firstLineChars="0"/>
      </w:pPr>
    </w:p>
    <w:p>
      <w:pPr>
        <w:pStyle w:val="3"/>
        <w:numPr>
          <w:ilvl w:val="1"/>
          <w:numId w:val="3"/>
        </w:numPr>
        <w:adjustRightInd w:val="0"/>
        <w:snapToGrid w:val="0"/>
        <w:spacing w:before="240" w:after="120" w:line="240" w:lineRule="auto"/>
        <w:ind w:left="576" w:hanging="576"/>
        <w:textAlignment w:val="baseline"/>
        <w:rPr>
          <w:rFonts w:hint="eastAsia" w:ascii="楷体" w:hAnsi="楷体" w:eastAsia="楷体" w:cs="楷体"/>
          <w:sz w:val="36"/>
          <w:lang w:val="en-US" w:eastAsia="zh-CN"/>
        </w:rPr>
      </w:pPr>
      <w:r>
        <w:rPr>
          <w:rFonts w:hint="eastAsia" w:ascii="楷体" w:hAnsi="楷体" w:eastAsia="楷体" w:cs="楷体"/>
          <w:sz w:val="36"/>
          <w:lang w:val="en-US" w:eastAsia="zh-CN"/>
        </w:rPr>
        <w:t>功能及描述</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2775"/>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3"/>
            <w:vAlign w:val="center"/>
          </w:tcPr>
          <w:p>
            <w:pPr>
              <w:rPr>
                <w:b/>
                <w:bCs/>
                <w:kern w:val="0"/>
                <w:sz w:val="20"/>
                <w:szCs w:val="21"/>
              </w:rPr>
            </w:pPr>
            <w:r>
              <w:rPr>
                <w:rFonts w:hint="eastAsia"/>
                <w:b/>
                <w:bCs/>
                <w:kern w:val="0"/>
                <w:sz w:val="20"/>
                <w:szCs w:val="21"/>
              </w:rPr>
              <w:t>主要功能及描述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961" w:type="dxa"/>
            <w:vAlign w:val="center"/>
          </w:tcPr>
          <w:p>
            <w:pPr>
              <w:rPr>
                <w:b/>
                <w:bCs/>
                <w:kern w:val="0"/>
                <w:sz w:val="20"/>
                <w:szCs w:val="21"/>
              </w:rPr>
            </w:pPr>
            <w:r>
              <w:rPr>
                <w:rFonts w:hint="eastAsia"/>
                <w:b/>
                <w:bCs/>
                <w:kern w:val="0"/>
                <w:sz w:val="20"/>
                <w:szCs w:val="21"/>
              </w:rPr>
              <w:t>序号</w:t>
            </w:r>
          </w:p>
        </w:tc>
        <w:tc>
          <w:tcPr>
            <w:tcW w:w="2775" w:type="dxa"/>
            <w:vAlign w:val="center"/>
          </w:tcPr>
          <w:p>
            <w:pPr>
              <w:rPr>
                <w:b/>
                <w:bCs/>
                <w:kern w:val="0"/>
                <w:sz w:val="20"/>
                <w:szCs w:val="21"/>
              </w:rPr>
            </w:pPr>
            <w:r>
              <w:rPr>
                <w:rFonts w:hint="eastAsia"/>
                <w:b/>
                <w:bCs/>
                <w:kern w:val="0"/>
                <w:sz w:val="20"/>
                <w:szCs w:val="21"/>
              </w:rPr>
              <w:t>名称</w:t>
            </w:r>
          </w:p>
        </w:tc>
        <w:tc>
          <w:tcPr>
            <w:tcW w:w="4786" w:type="dxa"/>
            <w:vAlign w:val="center"/>
          </w:tcPr>
          <w:p>
            <w:pPr>
              <w:rPr>
                <w:b/>
                <w:bCs/>
                <w:kern w:val="0"/>
                <w:sz w:val="20"/>
                <w:szCs w:val="21"/>
              </w:rPr>
            </w:pPr>
            <w:r>
              <w:rPr>
                <w:rFonts w:hint="eastAsia"/>
                <w:b/>
                <w:bCs/>
                <w:kern w:val="0"/>
                <w:sz w:val="20"/>
                <w:szCs w:val="21"/>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961" w:type="dxa"/>
            <w:vAlign w:val="center"/>
          </w:tcPr>
          <w:p>
            <w:pPr>
              <w:rPr>
                <w:color w:val="auto"/>
                <w:szCs w:val="21"/>
              </w:rPr>
            </w:pPr>
            <w:r>
              <w:rPr>
                <w:rFonts w:hint="eastAsia"/>
                <w:color w:val="auto"/>
                <w:szCs w:val="21"/>
              </w:rPr>
              <w:t>1</w:t>
            </w:r>
          </w:p>
        </w:tc>
        <w:tc>
          <w:tcPr>
            <w:tcW w:w="2775" w:type="dxa"/>
            <w:vAlign w:val="center"/>
          </w:tcPr>
          <w:p>
            <w:pPr>
              <w:rPr>
                <w:rFonts w:hint="eastAsia" w:ascii="宋体" w:hAnsi="宋体" w:eastAsia="宋体"/>
                <w:color w:val="auto"/>
                <w:sz w:val="20"/>
                <w:lang w:eastAsia="zh-CN"/>
              </w:rPr>
            </w:pPr>
            <w:r>
              <w:rPr>
                <w:rFonts w:hint="eastAsia" w:ascii="宋体" w:hAnsi="宋体" w:eastAsia="宋体"/>
                <w:color w:val="auto"/>
                <w:sz w:val="20"/>
                <w:lang w:eastAsia="zh-CN"/>
              </w:rPr>
              <w:t>一体机网站定制开发</w:t>
            </w:r>
          </w:p>
        </w:tc>
        <w:tc>
          <w:tcPr>
            <w:tcW w:w="4786" w:type="dxa"/>
            <w:vAlign w:val="center"/>
          </w:tcPr>
          <w:p>
            <w:pPr>
              <w:rPr>
                <w:rFonts w:hint="eastAsia" w:ascii="宋体" w:hAnsi="宋体" w:eastAsia="宋体"/>
                <w:color w:val="auto"/>
                <w:sz w:val="20"/>
                <w:lang w:eastAsia="zh-CN"/>
              </w:rPr>
            </w:pPr>
            <w:r>
              <w:rPr>
                <w:rFonts w:hint="eastAsia" w:ascii="宋体" w:hAnsi="宋体" w:eastAsia="宋体"/>
                <w:color w:val="auto"/>
                <w:sz w:val="20"/>
                <w:lang w:eastAsia="zh-CN"/>
              </w:rPr>
              <w:t>参考内容发布系统，要求包括完善的网站后台管理功能（含角色管理、用户管理、消息管理、栏目管理、内容管理等功能），支持多终端展示，支持图片及视频格式文件的发布及分享等功能。支持提取各业务系统数据并整合到网站一并发布。要求权限设计合理、整体设计风格统一，界面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961" w:type="dxa"/>
            <w:vAlign w:val="center"/>
          </w:tcPr>
          <w:p>
            <w:pPr>
              <w:rPr>
                <w:color w:val="auto"/>
                <w:szCs w:val="21"/>
              </w:rPr>
            </w:pPr>
            <w:r>
              <w:rPr>
                <w:rFonts w:hint="eastAsia"/>
                <w:color w:val="auto"/>
                <w:szCs w:val="21"/>
              </w:rPr>
              <w:t>2</w:t>
            </w:r>
          </w:p>
        </w:tc>
        <w:tc>
          <w:tcPr>
            <w:tcW w:w="2775" w:type="dxa"/>
            <w:vAlign w:val="center"/>
          </w:tcPr>
          <w:p>
            <w:pPr>
              <w:rPr>
                <w:rFonts w:hint="eastAsia" w:ascii="宋体" w:hAnsi="宋体" w:eastAsia="宋体"/>
                <w:color w:val="auto"/>
                <w:sz w:val="20"/>
              </w:rPr>
            </w:pPr>
            <w:r>
              <w:rPr>
                <w:rFonts w:hint="eastAsia" w:ascii="宋体" w:hAnsi="宋体" w:eastAsia="宋体"/>
                <w:color w:val="auto"/>
                <w:sz w:val="20"/>
              </w:rPr>
              <w:t>地图</w:t>
            </w:r>
            <w:r>
              <w:rPr>
                <w:rFonts w:ascii="宋体" w:hAnsi="宋体" w:eastAsia="宋体"/>
                <w:color w:val="auto"/>
                <w:sz w:val="20"/>
              </w:rPr>
              <w:t>定制开发</w:t>
            </w:r>
          </w:p>
        </w:tc>
        <w:tc>
          <w:tcPr>
            <w:tcW w:w="4786" w:type="dxa"/>
            <w:vAlign w:val="center"/>
          </w:tcPr>
          <w:p>
            <w:pPr>
              <w:rPr>
                <w:rFonts w:hint="eastAsia" w:ascii="宋体" w:hAnsi="宋体" w:eastAsia="宋体"/>
                <w:color w:val="auto"/>
                <w:sz w:val="20"/>
                <w:lang w:eastAsia="zh-CN"/>
              </w:rPr>
            </w:pPr>
            <w:r>
              <w:rPr>
                <w:rFonts w:hint="eastAsia" w:ascii="宋体" w:hAnsi="宋体" w:eastAsia="宋体"/>
                <w:color w:val="auto"/>
                <w:sz w:val="20"/>
              </w:rPr>
              <w:t>满足</w:t>
            </w:r>
            <w:r>
              <w:rPr>
                <w:rFonts w:ascii="宋体" w:hAnsi="宋体" w:eastAsia="宋体"/>
                <w:color w:val="auto"/>
                <w:sz w:val="20"/>
              </w:rPr>
              <w:t>易用性和延展性，合理布局网站功能，</w:t>
            </w:r>
            <w:r>
              <w:rPr>
                <w:rFonts w:hint="eastAsia" w:ascii="宋体" w:hAnsi="宋体" w:eastAsia="宋体"/>
                <w:color w:val="auto"/>
                <w:sz w:val="20"/>
              </w:rPr>
              <w:t>满足</w:t>
            </w:r>
            <w:r>
              <w:rPr>
                <w:rFonts w:ascii="宋体" w:hAnsi="宋体" w:eastAsia="宋体"/>
                <w:color w:val="auto"/>
                <w:sz w:val="20"/>
              </w:rPr>
              <w:t>定制要求</w:t>
            </w:r>
            <w:r>
              <w:rPr>
                <w:rFonts w:hint="eastAsia" w:ascii="宋体" w:hAnsi="宋体" w:eastAsia="宋体"/>
                <w:color w:val="auto"/>
                <w:sz w:val="20"/>
                <w:lang w:eastAsia="zh-CN"/>
              </w:rPr>
              <w:t>，根据疾控业务要求，实现</w:t>
            </w:r>
            <w:r>
              <w:rPr>
                <w:rFonts w:hint="eastAsia" w:ascii="宋体" w:hAnsi="宋体" w:eastAsia="宋体"/>
                <w:color w:val="auto"/>
                <w:sz w:val="20"/>
              </w:rPr>
              <w:t>全市</w:t>
            </w:r>
            <w:r>
              <w:rPr>
                <w:rFonts w:ascii="宋体" w:hAnsi="宋体" w:eastAsia="宋体"/>
                <w:color w:val="auto"/>
                <w:sz w:val="20"/>
              </w:rPr>
              <w:t>监控点区域划分、</w:t>
            </w:r>
            <w:r>
              <w:rPr>
                <w:rFonts w:hint="eastAsia" w:ascii="宋体" w:hAnsi="宋体" w:eastAsia="宋体"/>
                <w:color w:val="auto"/>
                <w:sz w:val="20"/>
              </w:rPr>
              <w:t>点位</w:t>
            </w:r>
            <w:r>
              <w:rPr>
                <w:rFonts w:ascii="宋体" w:hAnsi="宋体" w:eastAsia="宋体"/>
                <w:color w:val="auto"/>
                <w:sz w:val="20"/>
              </w:rPr>
              <w:t>内容展示、自助添加、地图搜索</w:t>
            </w:r>
            <w:r>
              <w:rPr>
                <w:rFonts w:hint="eastAsia" w:ascii="宋体" w:hAnsi="宋体" w:eastAsia="宋体"/>
                <w:color w:val="auto"/>
                <w:sz w:val="20"/>
                <w:lang w:eastAsia="zh-CN"/>
              </w:rPr>
              <w:t>等功能。</w:t>
            </w:r>
          </w:p>
        </w:tc>
      </w:tr>
    </w:tbl>
    <w:p>
      <w:pPr>
        <w:pStyle w:val="16"/>
        <w:ind w:firstLine="0" w:firstLineChars="0"/>
      </w:pPr>
    </w:p>
    <w:p>
      <w:pPr>
        <w:pStyle w:val="2"/>
        <w:pageBreakBefore w:val="0"/>
        <w:numPr>
          <w:ilvl w:val="0"/>
          <w:numId w:val="3"/>
        </w:numPr>
        <w:adjustRightInd w:val="0"/>
        <w:snapToGrid w:val="0"/>
        <w:spacing w:before="360" w:afterLines="0"/>
        <w:ind w:left="432" w:hanging="432"/>
        <w:jc w:val="both"/>
        <w:textAlignment w:val="baseline"/>
        <w:rPr>
          <w:rFonts w:eastAsia="仿宋_GB2312" w:cs="Times New Roman"/>
          <w:bCs/>
          <w:color w:val="auto"/>
          <w:szCs w:val="36"/>
        </w:rPr>
      </w:pPr>
      <w:r>
        <w:rPr>
          <w:rFonts w:hint="eastAsia" w:eastAsia="仿宋_GB2312" w:cs="Times New Roman"/>
          <w:bCs/>
          <w:color w:val="auto"/>
          <w:szCs w:val="36"/>
        </w:rPr>
        <w:t>技术要求及服务内容</w:t>
      </w:r>
    </w:p>
    <w:p>
      <w:pPr>
        <w:pStyle w:val="3"/>
        <w:numPr>
          <w:ilvl w:val="1"/>
          <w:numId w:val="3"/>
        </w:numPr>
        <w:adjustRightInd w:val="0"/>
        <w:snapToGrid w:val="0"/>
        <w:spacing w:before="240" w:after="120" w:line="240" w:lineRule="auto"/>
        <w:ind w:left="576" w:hanging="576"/>
        <w:textAlignment w:val="baseline"/>
        <w:rPr>
          <w:rFonts w:ascii="楷体" w:hAnsi="楷体" w:eastAsia="楷体" w:cs="楷体"/>
          <w:color w:val="auto"/>
          <w:sz w:val="36"/>
        </w:rPr>
      </w:pPr>
      <w:r>
        <w:rPr>
          <w:rFonts w:hint="eastAsia" w:ascii="楷体" w:hAnsi="楷体" w:eastAsia="楷体" w:cs="楷体"/>
          <w:color w:val="auto"/>
          <w:sz w:val="36"/>
        </w:rPr>
        <w:t>疾控中心</w:t>
      </w:r>
      <w:r>
        <w:rPr>
          <w:rFonts w:hint="eastAsia" w:ascii="楷体" w:hAnsi="楷体" w:eastAsia="楷体" w:cs="楷体"/>
          <w:color w:val="auto"/>
          <w:sz w:val="36"/>
          <w:lang w:eastAsia="zh-CN"/>
        </w:rPr>
        <w:t>一体机</w:t>
      </w:r>
      <w:r>
        <w:rPr>
          <w:rFonts w:hint="eastAsia" w:ascii="楷体" w:hAnsi="楷体" w:eastAsia="楷体" w:cs="楷体"/>
          <w:color w:val="auto"/>
          <w:sz w:val="36"/>
        </w:rPr>
        <w:t>网站</w:t>
      </w:r>
      <w:r>
        <w:rPr>
          <w:rFonts w:hint="eastAsia" w:ascii="楷体" w:hAnsi="楷体" w:eastAsia="楷体" w:cs="楷体"/>
          <w:color w:val="auto"/>
          <w:sz w:val="36"/>
          <w:lang w:eastAsia="zh-CN"/>
        </w:rPr>
        <w:t>定制</w:t>
      </w:r>
      <w:r>
        <w:rPr>
          <w:rFonts w:ascii="楷体" w:hAnsi="楷体" w:eastAsia="楷体" w:cs="楷体"/>
          <w:color w:val="auto"/>
          <w:sz w:val="36"/>
        </w:rPr>
        <w:t>系统</w:t>
      </w:r>
    </w:p>
    <w:p>
      <w:pPr>
        <w:pStyle w:val="16"/>
        <w:spacing w:line="560" w:lineRule="exact"/>
        <w:ind w:firstLine="480"/>
        <w:rPr>
          <w:rFonts w:ascii="宋体" w:hAnsi="宋体" w:eastAsia="宋体"/>
          <w:color w:val="auto"/>
          <w:sz w:val="24"/>
          <w:szCs w:val="24"/>
        </w:rPr>
      </w:pPr>
      <w:r>
        <w:rPr>
          <w:rFonts w:hint="eastAsia" w:ascii="宋体" w:hAnsi="宋体" w:eastAsia="宋体"/>
          <w:color w:val="auto"/>
          <w:sz w:val="24"/>
          <w:szCs w:val="24"/>
          <w:lang w:eastAsia="zh-CN"/>
        </w:rPr>
        <w:t>一体机网站定制系统参照建设目标中一体机网站的定制开发功能说明，完成相应的功能。</w:t>
      </w:r>
    </w:p>
    <w:p>
      <w:pPr>
        <w:pStyle w:val="3"/>
        <w:numPr>
          <w:ilvl w:val="1"/>
          <w:numId w:val="3"/>
        </w:numPr>
        <w:adjustRightInd w:val="0"/>
        <w:snapToGrid w:val="0"/>
        <w:spacing w:before="240" w:after="120" w:line="240" w:lineRule="auto"/>
        <w:ind w:left="576" w:hanging="576"/>
        <w:textAlignment w:val="baseline"/>
        <w:rPr>
          <w:rFonts w:ascii="楷体" w:hAnsi="楷体" w:eastAsia="楷体" w:cs="楷体"/>
          <w:color w:val="auto"/>
          <w:sz w:val="36"/>
        </w:rPr>
      </w:pPr>
      <w:r>
        <w:rPr>
          <w:rFonts w:hint="eastAsia" w:ascii="楷体" w:hAnsi="楷体" w:eastAsia="楷体" w:cs="楷体"/>
          <w:color w:val="auto"/>
          <w:sz w:val="36"/>
        </w:rPr>
        <w:t>疾控</w:t>
      </w:r>
      <w:r>
        <w:rPr>
          <w:rFonts w:hint="eastAsia" w:ascii="楷体" w:hAnsi="楷体" w:eastAsia="楷体" w:cs="楷体"/>
          <w:color w:val="auto"/>
          <w:sz w:val="36"/>
          <w:lang w:eastAsia="zh-CN"/>
        </w:rPr>
        <w:t>中心</w:t>
      </w:r>
      <w:r>
        <w:rPr>
          <w:rFonts w:ascii="楷体" w:hAnsi="楷体" w:eastAsia="楷体" w:cs="楷体"/>
          <w:color w:val="auto"/>
          <w:sz w:val="36"/>
        </w:rPr>
        <w:t>地图</w:t>
      </w:r>
      <w:r>
        <w:rPr>
          <w:rFonts w:hint="eastAsia" w:ascii="楷体" w:hAnsi="楷体" w:eastAsia="楷体" w:cs="楷体"/>
          <w:color w:val="auto"/>
          <w:sz w:val="36"/>
        </w:rPr>
        <w:t>网站</w:t>
      </w:r>
      <w:r>
        <w:rPr>
          <w:rFonts w:ascii="楷体" w:hAnsi="楷体" w:eastAsia="楷体" w:cs="楷体"/>
          <w:color w:val="auto"/>
          <w:sz w:val="36"/>
        </w:rPr>
        <w:t>定制系统</w:t>
      </w:r>
    </w:p>
    <w:p>
      <w:pPr>
        <w:spacing w:line="560" w:lineRule="exact"/>
        <w:ind w:left="576"/>
        <w:rPr>
          <w:rFonts w:ascii="宋体" w:hAnsi="宋体" w:eastAsia="宋体" w:cs="宋体"/>
          <w:color w:val="auto"/>
          <w:sz w:val="24"/>
        </w:rPr>
      </w:pPr>
      <w:r>
        <w:rPr>
          <w:rFonts w:hint="eastAsia" w:ascii="宋体" w:hAnsi="宋体" w:eastAsia="宋体" w:cs="宋体"/>
          <w:color w:val="auto"/>
          <w:sz w:val="24"/>
          <w:lang w:eastAsia="zh-CN"/>
        </w:rPr>
        <w:t>地图定制系统</w:t>
      </w:r>
      <w:r>
        <w:rPr>
          <w:rFonts w:hint="eastAsia" w:ascii="宋体" w:hAnsi="宋体" w:eastAsia="宋体" w:cs="宋体"/>
          <w:color w:val="auto"/>
          <w:sz w:val="24"/>
        </w:rPr>
        <w:t>参照建设目标中的</w:t>
      </w:r>
      <w:r>
        <w:rPr>
          <w:rFonts w:hint="eastAsia" w:ascii="宋体" w:hAnsi="宋体" w:eastAsia="宋体" w:cs="宋体"/>
          <w:color w:val="auto"/>
          <w:sz w:val="24"/>
          <w:lang w:eastAsia="zh-CN"/>
        </w:rPr>
        <w:t>地图定制开发的</w:t>
      </w:r>
      <w:r>
        <w:rPr>
          <w:rFonts w:hint="eastAsia" w:ascii="宋体" w:hAnsi="宋体" w:eastAsia="宋体" w:cs="宋体"/>
          <w:color w:val="auto"/>
          <w:sz w:val="24"/>
        </w:rPr>
        <w:t>功能</w:t>
      </w:r>
      <w:r>
        <w:rPr>
          <w:rFonts w:hint="eastAsia" w:ascii="宋体" w:hAnsi="宋体" w:eastAsia="宋体" w:cs="宋体"/>
          <w:color w:val="auto"/>
          <w:sz w:val="24"/>
          <w:lang w:eastAsia="zh-CN"/>
        </w:rPr>
        <w:t>说明</w:t>
      </w:r>
      <w:r>
        <w:rPr>
          <w:rFonts w:hint="eastAsia" w:ascii="宋体" w:hAnsi="宋体" w:eastAsia="宋体" w:cs="宋体"/>
          <w:color w:val="auto"/>
          <w:sz w:val="24"/>
        </w:rPr>
        <w:t>，完成相应</w:t>
      </w:r>
      <w:r>
        <w:rPr>
          <w:rFonts w:hint="eastAsia" w:ascii="宋体" w:hAnsi="宋体" w:eastAsia="宋体" w:cs="宋体"/>
          <w:color w:val="auto"/>
          <w:sz w:val="24"/>
          <w:lang w:eastAsia="zh-CN"/>
        </w:rPr>
        <w:t>的</w:t>
      </w:r>
      <w:r>
        <w:rPr>
          <w:rFonts w:hint="eastAsia" w:ascii="宋体" w:hAnsi="宋体" w:eastAsia="宋体" w:cs="宋体"/>
          <w:color w:val="auto"/>
          <w:sz w:val="24"/>
        </w:rPr>
        <w:t>功能。</w:t>
      </w:r>
    </w:p>
    <w:p>
      <w:pPr>
        <w:rPr>
          <w:color w:val="FF0000"/>
        </w:rPr>
      </w:pPr>
    </w:p>
    <w:p>
      <w:pPr>
        <w:pStyle w:val="3"/>
        <w:numPr>
          <w:ilvl w:val="1"/>
          <w:numId w:val="3"/>
        </w:numPr>
        <w:adjustRightInd w:val="0"/>
        <w:snapToGrid w:val="0"/>
        <w:spacing w:before="240" w:after="120" w:line="240" w:lineRule="auto"/>
        <w:ind w:left="576" w:hanging="576"/>
        <w:textAlignment w:val="baseline"/>
        <w:rPr>
          <w:rFonts w:ascii="楷体" w:hAnsi="楷体" w:eastAsia="楷体" w:cs="楷体"/>
          <w:sz w:val="36"/>
        </w:rPr>
      </w:pPr>
      <w:r>
        <w:rPr>
          <w:rFonts w:hint="eastAsia" w:ascii="楷体" w:hAnsi="楷体" w:eastAsia="楷体" w:cs="楷体"/>
          <w:sz w:val="36"/>
        </w:rPr>
        <w:t>质量属性要求</w:t>
      </w:r>
    </w:p>
    <w:p>
      <w:pPr>
        <w:pStyle w:val="4"/>
        <w:numPr>
          <w:ilvl w:val="0"/>
          <w:numId w:val="0"/>
        </w:numPr>
        <w:spacing w:before="156" w:beforeLines="50"/>
        <w:ind w:left="720" w:hanging="720"/>
        <w:rPr>
          <w:rFonts w:ascii="仿宋" w:hAnsi="仿宋" w:eastAsia="仿宋" w:cs="仿宋"/>
          <w:szCs w:val="32"/>
        </w:rPr>
      </w:pPr>
      <w:bookmarkStart w:id="3" w:name="_Toc137278672"/>
      <w:bookmarkStart w:id="4" w:name="_Toc30374"/>
      <w:bookmarkStart w:id="5" w:name="_Toc235591199"/>
      <w:r>
        <w:rPr>
          <w:rFonts w:hint="eastAsia" w:ascii="仿宋" w:hAnsi="仿宋" w:eastAsia="仿宋" w:cs="仿宋"/>
          <w:szCs w:val="32"/>
        </w:rPr>
        <w:t>2.3.1易用性</w:t>
      </w:r>
      <w:bookmarkEnd w:id="3"/>
      <w:bookmarkEnd w:id="4"/>
      <w:bookmarkEnd w:id="5"/>
    </w:p>
    <w:p>
      <w:pPr>
        <w:pStyle w:val="16"/>
        <w:spacing w:line="560" w:lineRule="exact"/>
        <w:ind w:firstLine="480"/>
        <w:rPr>
          <w:rFonts w:ascii="宋体" w:hAnsi="宋体" w:eastAsia="宋体"/>
          <w:sz w:val="24"/>
          <w:szCs w:val="24"/>
        </w:rPr>
      </w:pPr>
      <w:r>
        <w:rPr>
          <w:rFonts w:hint="eastAsia" w:ascii="宋体" w:hAnsi="宋体" w:eastAsia="宋体"/>
          <w:sz w:val="24"/>
          <w:szCs w:val="24"/>
        </w:rPr>
        <w:t>要求界面操作方式一致、按钮取名一致、复杂操作有注释、出错处理有人性化提示，有电脑基础的人都可以很快的熟悉并使用此软件。</w:t>
      </w:r>
    </w:p>
    <w:p>
      <w:pPr>
        <w:pStyle w:val="4"/>
        <w:numPr>
          <w:ilvl w:val="0"/>
          <w:numId w:val="0"/>
        </w:numPr>
        <w:spacing w:before="156" w:beforeLines="50"/>
        <w:ind w:left="720" w:hanging="720"/>
        <w:rPr>
          <w:rFonts w:ascii="仿宋" w:hAnsi="仿宋" w:eastAsia="仿宋" w:cs="仿宋"/>
          <w:szCs w:val="32"/>
        </w:rPr>
      </w:pPr>
      <w:bookmarkStart w:id="6" w:name="_Toc137278673"/>
      <w:bookmarkStart w:id="7" w:name="_Toc235591200"/>
      <w:bookmarkStart w:id="8" w:name="_Toc2142"/>
      <w:r>
        <w:rPr>
          <w:rFonts w:hint="eastAsia" w:ascii="仿宋" w:hAnsi="仿宋" w:eastAsia="仿宋" w:cs="仿宋"/>
          <w:szCs w:val="32"/>
        </w:rPr>
        <w:t>2.3.2可靠性</w:t>
      </w:r>
      <w:bookmarkEnd w:id="6"/>
      <w:bookmarkEnd w:id="7"/>
      <w:bookmarkEnd w:id="8"/>
    </w:p>
    <w:p>
      <w:pPr>
        <w:pStyle w:val="16"/>
        <w:spacing w:line="560" w:lineRule="exact"/>
        <w:ind w:firstLine="480"/>
        <w:rPr>
          <w:rFonts w:ascii="宋体" w:hAnsi="宋体" w:eastAsia="宋体"/>
          <w:sz w:val="24"/>
          <w:szCs w:val="24"/>
        </w:rPr>
      </w:pPr>
      <w:r>
        <w:rPr>
          <w:rFonts w:hint="eastAsia" w:ascii="宋体" w:hAnsi="宋体" w:eastAsia="宋体"/>
          <w:sz w:val="24"/>
          <w:szCs w:val="24"/>
        </w:rPr>
        <w:t>性能方面要求做到24小时无间断无障碍运行，保障30个用户同时登陆无障碍操作，任意页面打开时间小于30秒。发生故障时，要保证数据安全，系统可继续运行，记录故障信息到日志文件中以便工作人员的查找问题。</w:t>
      </w:r>
    </w:p>
    <w:p>
      <w:pPr>
        <w:pStyle w:val="4"/>
        <w:numPr>
          <w:ilvl w:val="0"/>
          <w:numId w:val="0"/>
        </w:numPr>
        <w:spacing w:before="156" w:beforeLines="50"/>
        <w:ind w:left="720" w:hanging="720"/>
        <w:rPr>
          <w:rFonts w:ascii="仿宋" w:hAnsi="仿宋" w:eastAsia="仿宋" w:cs="仿宋"/>
          <w:szCs w:val="32"/>
        </w:rPr>
      </w:pPr>
      <w:bookmarkStart w:id="9" w:name="_Toc22878"/>
      <w:bookmarkStart w:id="10" w:name="_Toc235591201"/>
      <w:bookmarkStart w:id="11" w:name="_Toc137278674"/>
      <w:r>
        <w:rPr>
          <w:rFonts w:hint="eastAsia" w:ascii="仿宋" w:hAnsi="仿宋" w:eastAsia="仿宋" w:cs="仿宋"/>
          <w:szCs w:val="32"/>
        </w:rPr>
        <w:t>2.3.3效率性</w:t>
      </w:r>
      <w:bookmarkEnd w:id="9"/>
      <w:bookmarkEnd w:id="10"/>
      <w:bookmarkEnd w:id="11"/>
      <w:bookmarkStart w:id="12" w:name="_Toc234137519"/>
      <w:bookmarkStart w:id="13" w:name="_Toc234137320"/>
    </w:p>
    <w:p>
      <w:pPr>
        <w:pStyle w:val="16"/>
        <w:spacing w:line="560" w:lineRule="exact"/>
        <w:ind w:firstLine="480"/>
        <w:rPr>
          <w:rFonts w:ascii="宋体" w:hAnsi="宋体" w:eastAsia="宋体"/>
          <w:sz w:val="24"/>
          <w:szCs w:val="24"/>
        </w:rPr>
      </w:pPr>
      <w:r>
        <w:rPr>
          <w:rFonts w:hint="eastAsia" w:ascii="宋体" w:hAnsi="宋体" w:eastAsia="宋体"/>
          <w:sz w:val="24"/>
          <w:szCs w:val="24"/>
        </w:rPr>
        <w:t>精度方面做到24小时无间断无障碍运行，30用户同时登陆，无障碍操作。</w:t>
      </w:r>
    </w:p>
    <w:p>
      <w:pPr>
        <w:pStyle w:val="16"/>
        <w:spacing w:line="560" w:lineRule="exact"/>
        <w:ind w:firstLine="480"/>
        <w:rPr>
          <w:rFonts w:ascii="仿宋" w:hAnsi="仿宋" w:eastAsia="仿宋" w:cs="仿宋"/>
          <w:sz w:val="32"/>
          <w:szCs w:val="32"/>
        </w:rPr>
      </w:pPr>
      <w:r>
        <w:rPr>
          <w:rFonts w:hint="eastAsia" w:ascii="宋体" w:hAnsi="宋体" w:eastAsia="宋体"/>
          <w:sz w:val="24"/>
          <w:szCs w:val="24"/>
        </w:rPr>
        <w:t>时间特性方面做到响应时间小于3秒、更新处理时间小于3秒、数据的转换和传送时间小于3秒。</w:t>
      </w:r>
      <w:bookmarkEnd w:id="12"/>
      <w:bookmarkEnd w:id="13"/>
    </w:p>
    <w:p>
      <w:pPr>
        <w:pStyle w:val="4"/>
        <w:numPr>
          <w:ilvl w:val="0"/>
          <w:numId w:val="0"/>
        </w:numPr>
        <w:spacing w:before="156" w:beforeLines="50"/>
        <w:ind w:left="720" w:hanging="720"/>
        <w:rPr>
          <w:rFonts w:ascii="仿宋" w:hAnsi="仿宋" w:eastAsia="仿宋" w:cs="仿宋"/>
          <w:szCs w:val="32"/>
        </w:rPr>
      </w:pPr>
      <w:bookmarkStart w:id="14" w:name="_Toc137278675"/>
      <w:bookmarkStart w:id="15" w:name="_Toc235591202"/>
      <w:bookmarkStart w:id="16" w:name="_Toc23695"/>
      <w:r>
        <w:rPr>
          <w:rFonts w:hint="eastAsia" w:ascii="仿宋" w:hAnsi="仿宋" w:eastAsia="仿宋" w:cs="仿宋"/>
          <w:szCs w:val="32"/>
        </w:rPr>
        <w:t>2.3.4兼容性</w:t>
      </w:r>
      <w:bookmarkEnd w:id="14"/>
      <w:bookmarkEnd w:id="15"/>
      <w:bookmarkEnd w:id="16"/>
    </w:p>
    <w:p>
      <w:pPr>
        <w:pStyle w:val="16"/>
        <w:spacing w:line="560" w:lineRule="exact"/>
        <w:ind w:firstLine="480"/>
        <w:rPr>
          <w:rFonts w:ascii="宋体" w:hAnsi="宋体" w:eastAsia="宋体"/>
          <w:sz w:val="24"/>
          <w:szCs w:val="24"/>
        </w:rPr>
      </w:pPr>
      <w:r>
        <w:rPr>
          <w:rFonts w:hint="eastAsia" w:ascii="宋体" w:hAnsi="宋体" w:eastAsia="宋体"/>
          <w:sz w:val="24"/>
          <w:szCs w:val="24"/>
        </w:rPr>
        <w:t>本系统需支持windowsXP、WIN7以上操作系统，需要兼容Internet Explorer8、9、10、11及火狐等主流浏览器。</w:t>
      </w:r>
    </w:p>
    <w:p>
      <w:pPr>
        <w:pStyle w:val="4"/>
        <w:numPr>
          <w:ilvl w:val="0"/>
          <w:numId w:val="0"/>
        </w:numPr>
        <w:spacing w:before="156" w:beforeLines="50"/>
        <w:ind w:left="720" w:hanging="720"/>
        <w:rPr>
          <w:rFonts w:ascii="仿宋" w:hAnsi="仿宋" w:eastAsia="仿宋" w:cs="仿宋"/>
          <w:szCs w:val="32"/>
        </w:rPr>
      </w:pPr>
      <w:bookmarkStart w:id="17" w:name="_Toc235591203"/>
      <w:bookmarkStart w:id="18" w:name="_Toc137278676"/>
      <w:bookmarkStart w:id="19" w:name="_Toc5723"/>
      <w:r>
        <w:rPr>
          <w:rFonts w:hint="eastAsia" w:ascii="仿宋" w:hAnsi="仿宋" w:eastAsia="仿宋" w:cs="仿宋"/>
          <w:szCs w:val="32"/>
        </w:rPr>
        <w:t>2.3.5安全性</w:t>
      </w:r>
      <w:bookmarkEnd w:id="17"/>
      <w:bookmarkEnd w:id="18"/>
      <w:bookmarkEnd w:id="19"/>
    </w:p>
    <w:p>
      <w:pPr>
        <w:pStyle w:val="16"/>
        <w:spacing w:line="560" w:lineRule="exact"/>
        <w:ind w:firstLine="480"/>
        <w:rPr>
          <w:rFonts w:ascii="仿宋" w:hAnsi="仿宋" w:eastAsia="仿宋" w:cs="仿宋"/>
          <w:sz w:val="32"/>
          <w:szCs w:val="32"/>
        </w:rPr>
      </w:pPr>
      <w:r>
        <w:rPr>
          <w:rFonts w:hint="eastAsia" w:ascii="宋体" w:hAnsi="宋体" w:eastAsia="宋体"/>
          <w:sz w:val="24"/>
          <w:szCs w:val="24"/>
        </w:rPr>
        <w:t>本软件在采用权限管理限制登录系统的用户操作级别，无相应权限的人员无权进行相关操作。</w:t>
      </w:r>
    </w:p>
    <w:p/>
    <w:p/>
    <w:p>
      <w:pPr>
        <w:pStyle w:val="2"/>
        <w:pageBreakBefore w:val="0"/>
        <w:numPr>
          <w:ilvl w:val="0"/>
          <w:numId w:val="3"/>
        </w:numPr>
        <w:adjustRightInd w:val="0"/>
        <w:snapToGrid w:val="0"/>
        <w:spacing w:before="360" w:afterLines="0"/>
        <w:ind w:left="432" w:hanging="432"/>
        <w:jc w:val="both"/>
        <w:textAlignment w:val="baseline"/>
        <w:rPr>
          <w:rFonts w:eastAsia="仿宋_GB2312" w:cs="Times New Roman"/>
          <w:bCs/>
          <w:color w:val="auto"/>
          <w:szCs w:val="36"/>
        </w:rPr>
      </w:pPr>
      <w:r>
        <w:rPr>
          <w:rFonts w:hint="eastAsia" w:eastAsia="仿宋_GB2312" w:cs="Times New Roman"/>
          <w:bCs/>
          <w:color w:val="auto"/>
          <w:szCs w:val="36"/>
        </w:rPr>
        <w:t>投标人资格要求</w:t>
      </w:r>
    </w:p>
    <w:p>
      <w:pPr>
        <w:spacing w:line="360" w:lineRule="auto"/>
        <w:ind w:right="-506" w:rightChars="-241" w:firstLine="120" w:firstLineChars="50"/>
        <w:rPr>
          <w:rFonts w:ascii="宋体" w:hAnsi="宋体" w:eastAsia="宋体" w:cs="宋体"/>
          <w:sz w:val="24"/>
        </w:rPr>
      </w:pPr>
      <w:r>
        <w:rPr>
          <w:rFonts w:hint="eastAsia" w:ascii="宋体" w:hAnsi="宋体" w:eastAsia="宋体" w:cs="宋体"/>
          <w:sz w:val="24"/>
        </w:rPr>
        <w:t>（1） 符合《中华人民共和国政府采购法》第22条要求；</w:t>
      </w:r>
    </w:p>
    <w:p>
      <w:pPr>
        <w:pStyle w:val="11"/>
        <w:spacing w:line="15" w:lineRule="atLeast"/>
        <w:ind w:firstLine="120" w:firstLineChars="50"/>
        <w:jc w:val="both"/>
        <w:rPr>
          <w:kern w:val="2"/>
        </w:rPr>
      </w:pPr>
      <w:r>
        <w:rPr>
          <w:rFonts w:hint="eastAsia"/>
          <w:kern w:val="2"/>
        </w:rPr>
        <w:t>（2）供应商具有独立的法人资格； </w:t>
      </w:r>
    </w:p>
    <w:p>
      <w:pPr>
        <w:pStyle w:val="11"/>
        <w:spacing w:line="15" w:lineRule="atLeast"/>
        <w:ind w:firstLine="120" w:firstLineChars="50"/>
        <w:jc w:val="both"/>
        <w:rPr>
          <w:kern w:val="2"/>
        </w:rPr>
      </w:pPr>
      <w:r>
        <w:rPr>
          <w:rFonts w:hint="eastAsia"/>
          <w:kern w:val="2"/>
        </w:rPr>
        <w:t xml:space="preserve">（3）提供检察院出具的《检察机关行贿犯罪档案查询结果告知函》；  </w:t>
      </w:r>
    </w:p>
    <w:p>
      <w:pPr>
        <w:pStyle w:val="11"/>
        <w:spacing w:line="15" w:lineRule="atLeast"/>
        <w:ind w:firstLine="120" w:firstLineChars="50"/>
        <w:jc w:val="both"/>
        <w:rPr>
          <w:kern w:val="2"/>
        </w:rPr>
      </w:pPr>
      <w:r>
        <w:rPr>
          <w:rFonts w:hint="eastAsia"/>
          <w:kern w:val="2"/>
        </w:rPr>
        <w:t>（4）本项目不接受联合体投标。</w:t>
      </w:r>
    </w:p>
    <w:p>
      <w:pPr>
        <w:pStyle w:val="2"/>
        <w:pageBreakBefore w:val="0"/>
        <w:numPr>
          <w:ilvl w:val="0"/>
          <w:numId w:val="3"/>
        </w:numPr>
        <w:adjustRightInd w:val="0"/>
        <w:snapToGrid w:val="0"/>
        <w:spacing w:before="360" w:afterLines="0"/>
        <w:ind w:left="432" w:hanging="432"/>
        <w:jc w:val="both"/>
        <w:textAlignment w:val="baseline"/>
        <w:rPr>
          <w:rFonts w:eastAsia="仿宋_GB2312" w:cs="Times New Roman"/>
          <w:bCs/>
          <w:color w:val="auto"/>
          <w:szCs w:val="36"/>
        </w:rPr>
      </w:pPr>
      <w:r>
        <w:rPr>
          <w:rFonts w:hint="eastAsia" w:eastAsia="仿宋_GB2312" w:cs="Times New Roman"/>
          <w:bCs/>
          <w:color w:val="auto"/>
          <w:szCs w:val="36"/>
        </w:rPr>
        <w:t>其他要求</w:t>
      </w:r>
    </w:p>
    <w:p/>
    <w:p>
      <w:pPr>
        <w:spacing w:before="156" w:beforeLines="50" w:after="156" w:afterLines="50" w:line="360" w:lineRule="auto"/>
        <w:ind w:right="-506" w:rightChars="-241" w:firstLine="405" w:firstLineChars="192"/>
        <w:rPr>
          <w:rFonts w:ascii="宋体" w:hAnsi="宋体"/>
          <w:b/>
          <w:szCs w:val="21"/>
        </w:rPr>
      </w:pPr>
      <w:r>
        <w:rPr>
          <w:rFonts w:hint="eastAsia" w:ascii="宋体" w:hAnsi="宋体"/>
          <w:b/>
          <w:szCs w:val="21"/>
        </w:rPr>
        <w:t>*承诺函：</w:t>
      </w:r>
    </w:p>
    <w:p>
      <w:pPr>
        <w:spacing w:line="360" w:lineRule="auto"/>
        <w:ind w:right="-506" w:rightChars="-241" w:firstLine="491" w:firstLineChars="205"/>
        <w:rPr>
          <w:rFonts w:ascii="宋体" w:hAnsi="宋体" w:eastAsia="宋体" w:cs="宋体"/>
          <w:color w:val="000000"/>
          <w:sz w:val="24"/>
        </w:rPr>
      </w:pPr>
      <w:r>
        <w:rPr>
          <w:rFonts w:hint="eastAsia" w:ascii="宋体" w:hAnsi="宋体" w:eastAsia="宋体" w:cs="宋体"/>
          <w:color w:val="000000"/>
          <w:sz w:val="24"/>
        </w:rPr>
        <w:t>1.投标商承诺：中标后提供相应产品的检测报告，加盖投标人公章。</w:t>
      </w:r>
    </w:p>
    <w:p>
      <w:pPr>
        <w:spacing w:line="360" w:lineRule="auto"/>
        <w:ind w:right="-506" w:rightChars="-241" w:firstLine="491" w:firstLineChars="205"/>
        <w:rPr>
          <w:rFonts w:ascii="宋体" w:hAnsi="宋体" w:eastAsia="宋体" w:cs="宋体"/>
          <w:color w:val="000000"/>
          <w:sz w:val="24"/>
        </w:rPr>
      </w:pPr>
      <w:r>
        <w:rPr>
          <w:rFonts w:hint="eastAsia" w:ascii="宋体" w:hAnsi="宋体" w:eastAsia="宋体" w:cs="宋体"/>
          <w:color w:val="000000"/>
          <w:sz w:val="24"/>
        </w:rPr>
        <w:t>2.项目实施相关要求。</w:t>
      </w:r>
    </w:p>
    <w:p>
      <w:pPr>
        <w:spacing w:line="360" w:lineRule="auto"/>
        <w:ind w:right="-506" w:rightChars="-241" w:firstLine="491" w:firstLineChars="205"/>
        <w:rPr>
          <w:rFonts w:ascii="宋体" w:hAnsi="宋体" w:eastAsia="宋体" w:cs="宋体"/>
          <w:color w:val="000000"/>
          <w:sz w:val="24"/>
        </w:rPr>
      </w:pPr>
      <w:r>
        <w:rPr>
          <w:rFonts w:hint="eastAsia" w:ascii="宋体" w:hAnsi="宋体" w:eastAsia="宋体" w:cs="宋体"/>
          <w:color w:val="000000"/>
          <w:sz w:val="24"/>
        </w:rPr>
        <w:t>项目安装调试后应试运行一个月的时间，在试运行过程中如有问题根据相关需求进行必要调整。同时，建立完善的维护体系。</w:t>
      </w:r>
    </w:p>
    <w:p>
      <w:pPr>
        <w:spacing w:line="360" w:lineRule="auto"/>
        <w:ind w:right="-506" w:rightChars="-241" w:firstLine="491" w:firstLineChars="205"/>
        <w:rPr>
          <w:rFonts w:ascii="宋体" w:hAnsi="宋体" w:eastAsia="宋体" w:cs="宋体"/>
          <w:color w:val="000000"/>
          <w:sz w:val="24"/>
        </w:rPr>
      </w:pPr>
      <w:r>
        <w:rPr>
          <w:rFonts w:hint="eastAsia" w:ascii="宋体" w:hAnsi="宋体" w:eastAsia="宋体" w:cs="宋体"/>
          <w:color w:val="000000"/>
          <w:sz w:val="24"/>
        </w:rPr>
        <w:t>3. 组织管理</w:t>
      </w:r>
    </w:p>
    <w:p>
      <w:pPr>
        <w:spacing w:line="360" w:lineRule="auto"/>
        <w:ind w:right="-506" w:rightChars="-241" w:firstLine="491" w:firstLineChars="205"/>
        <w:rPr>
          <w:rFonts w:ascii="宋体" w:hAnsi="宋体" w:eastAsia="宋体" w:cs="宋体"/>
          <w:color w:val="000000"/>
          <w:sz w:val="24"/>
        </w:rPr>
      </w:pPr>
      <w:r>
        <w:rPr>
          <w:rFonts w:hint="eastAsia" w:ascii="宋体" w:hAnsi="宋体" w:eastAsia="宋体" w:cs="宋体"/>
          <w:color w:val="000000"/>
          <w:sz w:val="24"/>
        </w:rPr>
        <w:t>投标人根据项目的特点和要求，自行制定关于本项目的人员配置方案。</w:t>
      </w:r>
    </w:p>
    <w:p>
      <w:pPr>
        <w:spacing w:line="360" w:lineRule="auto"/>
        <w:ind w:right="-506" w:rightChars="-241" w:firstLine="491" w:firstLineChars="205"/>
        <w:rPr>
          <w:rFonts w:ascii="宋体" w:hAnsi="宋体" w:eastAsia="宋体" w:cs="宋体"/>
          <w:color w:val="000000"/>
          <w:sz w:val="24"/>
        </w:rPr>
      </w:pPr>
      <w:r>
        <w:rPr>
          <w:rFonts w:hint="eastAsia" w:ascii="宋体" w:hAnsi="宋体" w:eastAsia="宋体" w:cs="宋体"/>
          <w:color w:val="000000"/>
          <w:sz w:val="24"/>
        </w:rPr>
        <w:t>4. 售后服务</w:t>
      </w:r>
    </w:p>
    <w:p>
      <w:pPr>
        <w:spacing w:line="360" w:lineRule="auto"/>
        <w:ind w:right="-506" w:rightChars="-241" w:firstLine="491" w:firstLineChars="205"/>
        <w:rPr>
          <w:rFonts w:ascii="宋体" w:hAnsi="宋体" w:eastAsia="宋体" w:cs="宋体"/>
          <w:color w:val="000000"/>
          <w:sz w:val="24"/>
        </w:rPr>
      </w:pPr>
      <w:r>
        <w:rPr>
          <w:rFonts w:hint="eastAsia" w:ascii="宋体" w:hAnsi="宋体" w:eastAsia="宋体" w:cs="宋体"/>
          <w:color w:val="000000"/>
          <w:sz w:val="24"/>
        </w:rPr>
        <w:t>中标商须向项目采购人承诺提供的质量保证期、技术支持等；</w:t>
      </w:r>
    </w:p>
    <w:p>
      <w:pPr>
        <w:spacing w:line="360" w:lineRule="auto"/>
        <w:ind w:right="-506" w:rightChars="-241" w:firstLine="491" w:firstLineChars="205"/>
        <w:rPr>
          <w:rFonts w:ascii="宋体" w:hAnsi="宋体" w:eastAsia="宋体" w:cs="宋体"/>
          <w:color w:val="000000"/>
          <w:sz w:val="24"/>
        </w:rPr>
      </w:pPr>
      <w:r>
        <w:rPr>
          <w:rFonts w:hint="eastAsia" w:ascii="宋体" w:hAnsi="宋体" w:eastAsia="宋体" w:cs="宋体"/>
          <w:color w:val="000000"/>
          <w:sz w:val="24"/>
        </w:rPr>
        <w:t>⑴ 系统终验合格后进入系统质量保证期，自双方代表在系统终验合格单上签字之日起计算，质保期三年.</w:t>
      </w:r>
    </w:p>
    <w:p>
      <w:pPr>
        <w:spacing w:line="360" w:lineRule="auto"/>
        <w:ind w:right="-506" w:rightChars="-241" w:firstLine="491" w:firstLineChars="205"/>
        <w:rPr>
          <w:rFonts w:ascii="宋体" w:hAnsi="宋体" w:eastAsia="宋体" w:cs="宋体"/>
          <w:sz w:val="24"/>
        </w:rPr>
      </w:pPr>
      <w:r>
        <w:rPr>
          <w:rFonts w:hint="eastAsia" w:ascii="宋体" w:hAnsi="宋体" w:eastAsia="宋体" w:cs="宋体"/>
          <w:color w:val="000000"/>
          <w:sz w:val="24"/>
        </w:rPr>
        <w:t xml:space="preserve">⑵ </w:t>
      </w:r>
      <w:r>
        <w:rPr>
          <w:rFonts w:hint="eastAsia" w:ascii="宋体" w:hAnsi="宋体" w:eastAsia="宋体" w:cs="宋体"/>
          <w:sz w:val="24"/>
        </w:rPr>
        <w:t>维修响应速度：在保修期内发生故障时，1小时响应，接到故障电话3小时内到达现场，一般故障恢复时间1小时，紧急故障恢复时间3小时；提供7*24小时热线电话，节假日照常上班；如果8小时内不能修复，提供同等档次备用设备。</w:t>
      </w:r>
    </w:p>
    <w:p>
      <w:pPr>
        <w:spacing w:line="360" w:lineRule="auto"/>
        <w:ind w:right="-506" w:rightChars="-241" w:firstLine="491" w:firstLineChars="205"/>
        <w:rPr>
          <w:rFonts w:ascii="宋体" w:hAnsi="宋体" w:eastAsia="宋体" w:cs="宋体"/>
          <w:color w:val="000000"/>
          <w:sz w:val="24"/>
        </w:rPr>
      </w:pPr>
      <w:r>
        <w:rPr>
          <w:rFonts w:hint="eastAsia" w:ascii="宋体" w:hAnsi="宋体" w:eastAsia="宋体" w:cs="宋体"/>
          <w:color w:val="000000"/>
          <w:sz w:val="24"/>
        </w:rPr>
        <w:t>5. 交付及验收</w:t>
      </w:r>
    </w:p>
    <w:p>
      <w:pPr>
        <w:spacing w:line="360" w:lineRule="auto"/>
        <w:ind w:firstLine="349" w:firstLineChars="145"/>
        <w:rPr>
          <w:rFonts w:ascii="宋体" w:hAnsi="宋体" w:eastAsia="宋体" w:cs="宋体"/>
          <w:color w:val="auto"/>
          <w:sz w:val="24"/>
        </w:rPr>
      </w:pPr>
      <w:r>
        <w:rPr>
          <w:rFonts w:hint="eastAsia" w:ascii="宋体" w:hAnsi="宋体" w:eastAsia="宋体" w:cs="宋体"/>
          <w:b/>
          <w:color w:val="auto"/>
          <w:sz w:val="24"/>
          <w:lang w:val="en-US" w:eastAsia="zh-CN"/>
        </w:rPr>
        <w:t xml:space="preserve"> </w:t>
      </w:r>
      <w:r>
        <w:rPr>
          <w:rFonts w:hint="eastAsia" w:ascii="宋体" w:hAnsi="宋体" w:eastAsia="宋体" w:cs="宋体"/>
          <w:color w:val="auto"/>
          <w:sz w:val="24"/>
        </w:rPr>
        <w:t>⑴ 交付期：合同签订后接到甲方通知</w:t>
      </w:r>
      <w:r>
        <w:rPr>
          <w:rFonts w:hint="eastAsia" w:ascii="宋体" w:hAnsi="宋体" w:eastAsia="宋体" w:cs="宋体"/>
          <w:color w:val="auto"/>
          <w:sz w:val="24"/>
          <w:lang w:val="en-US" w:eastAsia="zh-CN"/>
        </w:rPr>
        <w:t>3</w:t>
      </w:r>
      <w:r>
        <w:rPr>
          <w:rFonts w:ascii="宋体" w:hAnsi="宋体" w:eastAsia="宋体" w:cs="宋体"/>
          <w:color w:val="auto"/>
          <w:sz w:val="24"/>
        </w:rPr>
        <w:t>0</w:t>
      </w:r>
      <w:r>
        <w:rPr>
          <w:rFonts w:hint="eastAsia" w:ascii="宋体" w:hAnsi="宋体" w:eastAsia="宋体" w:cs="宋体"/>
          <w:color w:val="auto"/>
          <w:sz w:val="24"/>
        </w:rPr>
        <w:t>个工作日内完成系统安装调试。</w:t>
      </w:r>
    </w:p>
    <w:p>
      <w:pPr>
        <w:ind w:firstLine="480" w:firstLineChars="200"/>
        <w:rPr>
          <w:rFonts w:ascii="宋体" w:hAnsi="宋体" w:eastAsia="宋体" w:cs="宋体"/>
          <w:color w:val="auto"/>
          <w:sz w:val="24"/>
        </w:rPr>
      </w:pPr>
      <w:r>
        <w:rPr>
          <w:rFonts w:hint="eastAsia" w:ascii="宋体" w:hAnsi="宋体" w:eastAsia="宋体" w:cs="宋体"/>
          <w:color w:val="auto"/>
          <w:sz w:val="24"/>
        </w:rPr>
        <w:t>⑵ 交付、安装及验收地点： 武汉市疾</w:t>
      </w:r>
      <w:r>
        <w:rPr>
          <w:rFonts w:hint="eastAsia" w:ascii="宋体" w:hAnsi="宋体" w:eastAsia="宋体" w:cs="宋体"/>
          <w:color w:val="auto"/>
          <w:sz w:val="24"/>
          <w:lang w:eastAsia="zh-CN"/>
        </w:rPr>
        <w:t>病预防控制</w:t>
      </w:r>
      <w:r>
        <w:rPr>
          <w:rFonts w:hint="eastAsia" w:ascii="宋体" w:hAnsi="宋体" w:eastAsia="宋体" w:cs="宋体"/>
          <w:color w:val="auto"/>
          <w:sz w:val="24"/>
        </w:rPr>
        <w:t>中心 。</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⑶ 验收：系统验收分为初验、试运行、终验三步。系统安装调试完成后，中标单位向甲方申请初验，甲方组织相关专家进行初验；初验合格进入试运行期，试运行时间最少为1个月；试运行无问题，中标单位向甲方申请终验，甲方组织相关专家进行终验。</w:t>
      </w:r>
    </w:p>
    <w:p>
      <w:pPr>
        <w:pStyle w:val="2"/>
        <w:pageBreakBefore w:val="0"/>
        <w:numPr>
          <w:ilvl w:val="0"/>
          <w:numId w:val="3"/>
        </w:numPr>
        <w:adjustRightInd w:val="0"/>
        <w:snapToGrid w:val="0"/>
        <w:spacing w:before="360" w:afterLines="0"/>
        <w:ind w:left="432" w:hanging="432"/>
        <w:jc w:val="both"/>
        <w:textAlignment w:val="baseline"/>
        <w:rPr>
          <w:rFonts w:eastAsia="仿宋_GB2312" w:cs="Times New Roman"/>
          <w:bCs/>
          <w:color w:val="auto"/>
          <w:szCs w:val="36"/>
        </w:rPr>
      </w:pPr>
      <w:r>
        <w:rPr>
          <w:rFonts w:hint="eastAsia" w:eastAsia="仿宋_GB2312" w:cs="Times New Roman"/>
          <w:bCs/>
          <w:color w:val="auto"/>
          <w:szCs w:val="36"/>
        </w:rPr>
        <w:t>评分方法</w:t>
      </w:r>
    </w:p>
    <w:p>
      <w:pPr>
        <w:spacing w:line="360" w:lineRule="auto"/>
        <w:ind w:right="-506" w:rightChars="-241" w:firstLine="430" w:firstLineChars="205"/>
        <w:rPr>
          <w:rFonts w:ascii="宋体" w:hAnsi="宋体"/>
          <w:szCs w:val="21"/>
        </w:rPr>
      </w:pPr>
      <w:r>
        <w:rPr>
          <w:rFonts w:hint="eastAsia" w:ascii="宋体" w:hAnsi="宋体"/>
          <w:szCs w:val="21"/>
        </w:rPr>
        <w:t>本采购项目采用综合评分法，满分100分。</w:t>
      </w:r>
    </w:p>
    <w:p>
      <w:pPr>
        <w:spacing w:line="360" w:lineRule="auto"/>
        <w:ind w:right="-506" w:rightChars="-241" w:firstLine="430" w:firstLineChars="205"/>
      </w:pPr>
      <w:r>
        <w:rPr>
          <w:rFonts w:hint="eastAsia"/>
        </w:rPr>
        <w:t>评分细则如下：</w:t>
      </w:r>
    </w:p>
    <w:tbl>
      <w:tblPr>
        <w:tblStyle w:val="14"/>
        <w:tblW w:w="879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34"/>
        <w:gridCol w:w="690"/>
        <w:gridCol w:w="3431"/>
        <w:gridCol w:w="747"/>
        <w:gridCol w:w="2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4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序</w:t>
            </w:r>
          </w:p>
          <w:p>
            <w:pPr>
              <w:jc w:val="center"/>
              <w:rPr>
                <w:rFonts w:ascii="宋体" w:hAnsi="宋体"/>
                <w:bCs/>
                <w:color w:val="000000"/>
                <w:sz w:val="18"/>
                <w:szCs w:val="18"/>
              </w:rPr>
            </w:pPr>
            <w:r>
              <w:rPr>
                <w:rFonts w:hint="eastAsia" w:ascii="宋体" w:hAnsi="宋体"/>
                <w:bCs/>
                <w:color w:val="000000"/>
                <w:sz w:val="18"/>
                <w:szCs w:val="18"/>
              </w:rPr>
              <w:t>号</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评审</w:t>
            </w:r>
          </w:p>
          <w:p>
            <w:pPr>
              <w:jc w:val="center"/>
              <w:rPr>
                <w:rFonts w:ascii="宋体" w:hAnsi="宋体"/>
                <w:bCs/>
                <w:color w:val="000000"/>
                <w:sz w:val="18"/>
                <w:szCs w:val="18"/>
              </w:rPr>
            </w:pPr>
            <w:r>
              <w:rPr>
                <w:rFonts w:hint="eastAsia" w:ascii="宋体" w:hAnsi="宋体"/>
                <w:bCs/>
                <w:color w:val="000000"/>
                <w:sz w:val="18"/>
                <w:szCs w:val="18"/>
              </w:rPr>
              <w:t>条款</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权重</w:t>
            </w:r>
          </w:p>
        </w:tc>
        <w:tc>
          <w:tcPr>
            <w:tcW w:w="34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评审细则</w:t>
            </w: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分值</w:t>
            </w:r>
          </w:p>
        </w:tc>
        <w:tc>
          <w:tcPr>
            <w:tcW w:w="27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4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1</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价格</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r>
              <w:rPr>
                <w:rFonts w:ascii="宋体" w:hAnsi="宋体"/>
                <w:bCs/>
                <w:color w:val="000000"/>
                <w:sz w:val="18"/>
                <w:szCs w:val="18"/>
              </w:rPr>
              <w:t>30</w:t>
            </w:r>
          </w:p>
        </w:tc>
        <w:tc>
          <w:tcPr>
            <w:tcW w:w="34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1．（评标基准价</w:t>
            </w:r>
            <w:r>
              <w:rPr>
                <w:rFonts w:ascii="宋体" w:hAnsi="宋体"/>
                <w:bCs/>
                <w:color w:val="000000"/>
                <w:sz w:val="18"/>
                <w:szCs w:val="18"/>
              </w:rPr>
              <w:t>/</w:t>
            </w:r>
            <w:r>
              <w:rPr>
                <w:rFonts w:hint="eastAsia" w:ascii="宋体" w:hAnsi="宋体"/>
                <w:bCs/>
                <w:color w:val="000000"/>
                <w:sz w:val="18"/>
                <w:szCs w:val="18"/>
              </w:rPr>
              <w:t>投标报价）×价格权值×</w:t>
            </w:r>
            <w:r>
              <w:rPr>
                <w:rFonts w:ascii="宋体" w:hAnsi="宋体"/>
                <w:bCs/>
                <w:color w:val="000000"/>
                <w:sz w:val="18"/>
                <w:szCs w:val="18"/>
              </w:rPr>
              <w:t xml:space="preserve">100 </w:t>
            </w: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0-</w:t>
            </w:r>
            <w:r>
              <w:rPr>
                <w:rFonts w:ascii="宋体" w:hAnsi="宋体"/>
                <w:bCs/>
                <w:color w:val="000000"/>
                <w:sz w:val="18"/>
                <w:szCs w:val="18"/>
              </w:rPr>
              <w:t>30</w:t>
            </w:r>
          </w:p>
        </w:tc>
        <w:tc>
          <w:tcPr>
            <w:tcW w:w="2762"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000000"/>
                <w:sz w:val="18"/>
                <w:szCs w:val="18"/>
              </w:rPr>
            </w:pPr>
            <w:r>
              <w:rPr>
                <w:rFonts w:hint="eastAsia" w:ascii="宋体" w:hAnsi="宋体"/>
                <w:bCs/>
                <w:color w:val="000000"/>
                <w:sz w:val="18"/>
                <w:szCs w:val="18"/>
              </w:rPr>
              <w:t>满足招标文件要求且投标价格最低的投标报价为评标基准价。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426" w:type="dxa"/>
            <w:vMerge w:val="restart"/>
            <w:tcBorders>
              <w:top w:val="single" w:color="auto" w:sz="4" w:space="0"/>
              <w:left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2</w:t>
            </w:r>
          </w:p>
        </w:tc>
        <w:tc>
          <w:tcPr>
            <w:tcW w:w="734" w:type="dxa"/>
            <w:vMerge w:val="restart"/>
            <w:tcBorders>
              <w:top w:val="single" w:color="auto" w:sz="4" w:space="0"/>
              <w:left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技术</w:t>
            </w:r>
          </w:p>
          <w:p>
            <w:pPr>
              <w:jc w:val="center"/>
              <w:rPr>
                <w:rFonts w:ascii="宋体" w:hAnsi="宋体"/>
                <w:bCs/>
                <w:color w:val="000000"/>
                <w:sz w:val="18"/>
                <w:szCs w:val="18"/>
              </w:rPr>
            </w:pPr>
            <w:r>
              <w:rPr>
                <w:rFonts w:hint="eastAsia" w:ascii="宋体" w:hAnsi="宋体"/>
                <w:bCs/>
                <w:color w:val="000000"/>
                <w:sz w:val="18"/>
                <w:szCs w:val="18"/>
              </w:rPr>
              <w:t>性能</w:t>
            </w:r>
          </w:p>
          <w:p>
            <w:pPr>
              <w:jc w:val="center"/>
              <w:rPr>
                <w:rFonts w:ascii="宋体" w:hAnsi="宋体"/>
                <w:bCs/>
                <w:color w:val="000000"/>
                <w:sz w:val="18"/>
                <w:szCs w:val="18"/>
              </w:rPr>
            </w:pPr>
            <w:r>
              <w:rPr>
                <w:rFonts w:hint="eastAsia" w:ascii="宋体" w:hAnsi="宋体"/>
                <w:bCs/>
                <w:color w:val="000000"/>
                <w:sz w:val="18"/>
                <w:szCs w:val="18"/>
              </w:rPr>
              <w:t>指标</w:t>
            </w:r>
          </w:p>
        </w:tc>
        <w:tc>
          <w:tcPr>
            <w:tcW w:w="690" w:type="dxa"/>
            <w:vMerge w:val="restart"/>
            <w:tcBorders>
              <w:top w:val="single" w:color="auto" w:sz="4" w:space="0"/>
              <w:left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48</w:t>
            </w:r>
          </w:p>
        </w:tc>
        <w:tc>
          <w:tcPr>
            <w:tcW w:w="343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18"/>
                <w:szCs w:val="18"/>
              </w:rPr>
            </w:pPr>
          </w:p>
          <w:p>
            <w:pPr>
              <w:widowControl/>
              <w:rPr>
                <w:rFonts w:ascii="宋体" w:hAnsi="宋体" w:cs="宋体"/>
                <w:color w:val="000000"/>
                <w:sz w:val="18"/>
                <w:szCs w:val="18"/>
              </w:rPr>
            </w:pPr>
          </w:p>
          <w:p>
            <w:pPr>
              <w:widowControl/>
              <w:rPr>
                <w:rFonts w:ascii="宋体" w:hAnsi="宋体" w:cs="宋体"/>
                <w:color w:val="000000"/>
                <w:sz w:val="18"/>
                <w:szCs w:val="18"/>
              </w:rPr>
            </w:pPr>
          </w:p>
          <w:p>
            <w:pPr>
              <w:widowControl/>
              <w:rPr>
                <w:rFonts w:ascii="宋体" w:hAnsi="宋体" w:cs="宋体"/>
                <w:color w:val="000000"/>
                <w:sz w:val="18"/>
                <w:szCs w:val="18"/>
              </w:rPr>
            </w:pPr>
            <w:r>
              <w:rPr>
                <w:rFonts w:hint="eastAsia" w:ascii="宋体" w:hAnsi="宋体" w:cs="宋体"/>
                <w:color w:val="000000"/>
                <w:sz w:val="18"/>
                <w:szCs w:val="18"/>
              </w:rPr>
              <w:t>1．性能指标</w:t>
            </w:r>
          </w:p>
          <w:p>
            <w:pPr>
              <w:rPr>
                <w:rFonts w:ascii="宋体" w:hAnsi="宋体" w:cs="宋体"/>
                <w:color w:val="000000"/>
                <w:sz w:val="18"/>
                <w:szCs w:val="18"/>
              </w:rPr>
            </w:pPr>
          </w:p>
          <w:p>
            <w:pPr>
              <w:rPr>
                <w:rFonts w:ascii="宋体" w:hAnsi="宋体" w:cs="宋体"/>
                <w:color w:val="000000"/>
                <w:sz w:val="18"/>
                <w:szCs w:val="18"/>
              </w:rPr>
            </w:pPr>
          </w:p>
          <w:p>
            <w:pPr>
              <w:rPr>
                <w:rFonts w:ascii="宋体" w:hAnsi="宋体" w:cs="宋体"/>
                <w:bCs/>
                <w:color w:val="000000"/>
                <w:sz w:val="18"/>
                <w:szCs w:val="18"/>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18"/>
                <w:szCs w:val="18"/>
              </w:rPr>
            </w:pPr>
            <w:r>
              <w:rPr>
                <w:rFonts w:hint="eastAsia" w:ascii="宋体" w:hAnsi="宋体"/>
                <w:bCs/>
                <w:color w:val="000000"/>
                <w:sz w:val="18"/>
                <w:szCs w:val="18"/>
              </w:rPr>
              <w:t>40</w:t>
            </w:r>
          </w:p>
        </w:tc>
        <w:tc>
          <w:tcPr>
            <w:tcW w:w="2762"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sz w:val="18"/>
                <w:szCs w:val="18"/>
              </w:rPr>
            </w:pPr>
            <w:r>
              <w:rPr>
                <w:rFonts w:hint="eastAsia" w:ascii="宋体" w:hAnsi="宋体" w:cs="宋体"/>
                <w:color w:val="000000"/>
                <w:sz w:val="18"/>
                <w:szCs w:val="18"/>
              </w:rPr>
              <w:t>参照采购设备技术指标要求部分，所有拟采购软件服务清单中 “</w:t>
            </w:r>
            <w:r>
              <w:rPr>
                <w:rFonts w:hint="eastAsia" w:ascii="宋体" w:hAnsi="宋体" w:cs="宋体"/>
                <w:color w:val="000000"/>
                <w:kern w:val="0"/>
                <w:sz w:val="18"/>
                <w:szCs w:val="18"/>
              </w:rPr>
              <w:t>#</w:t>
            </w:r>
            <w:r>
              <w:rPr>
                <w:rFonts w:hint="eastAsia" w:ascii="宋体" w:hAnsi="宋体" w:cs="宋体"/>
                <w:color w:val="000000"/>
                <w:sz w:val="18"/>
                <w:szCs w:val="18"/>
              </w:rPr>
              <w:t>”号后面标注的内容为该软件/设备重点技术指标项，将作为重要评分指标；其他技术指标项，为辅助评分指标。全部满足招标文件技术指标的得40分；每一重点技术指标项负偏离扣</w:t>
            </w:r>
            <w:r>
              <w:rPr>
                <w:rFonts w:ascii="宋体" w:hAnsi="宋体" w:cs="宋体"/>
                <w:color w:val="000000"/>
                <w:sz w:val="18"/>
                <w:szCs w:val="18"/>
              </w:rPr>
              <w:t>10</w:t>
            </w:r>
            <w:r>
              <w:rPr>
                <w:rFonts w:hint="eastAsia" w:ascii="宋体" w:hAnsi="宋体" w:cs="宋体"/>
                <w:color w:val="000000"/>
                <w:sz w:val="18"/>
                <w:szCs w:val="18"/>
              </w:rPr>
              <w:t>分；其他技术指标项负偏离扣</w:t>
            </w:r>
            <w:r>
              <w:rPr>
                <w:rFonts w:ascii="宋体" w:hAnsi="宋体" w:cs="宋体"/>
                <w:color w:val="000000"/>
                <w:sz w:val="18"/>
                <w:szCs w:val="18"/>
              </w:rPr>
              <w:t>5</w:t>
            </w:r>
            <w:r>
              <w:rPr>
                <w:rFonts w:hint="eastAsia" w:ascii="宋体" w:hAnsi="宋体" w:cs="宋体"/>
                <w:color w:val="000000"/>
                <w:sz w:val="18"/>
                <w:szCs w:val="18"/>
              </w:rPr>
              <w:t>分，累计技术指标负偏离扣分不超过3</w:t>
            </w:r>
            <w:r>
              <w:rPr>
                <w:rFonts w:ascii="宋体" w:hAnsi="宋体" w:cs="宋体"/>
                <w:color w:val="000000"/>
                <w:sz w:val="18"/>
                <w:szCs w:val="18"/>
              </w:rPr>
              <w:t>5</w:t>
            </w:r>
            <w:r>
              <w:rPr>
                <w:rFonts w:hint="eastAsia" w:ascii="宋体" w:hAnsi="宋体" w:cs="宋体"/>
                <w:color w:val="00000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426" w:type="dxa"/>
            <w:vMerge w:val="continue"/>
            <w:tcBorders>
              <w:left w:val="single" w:color="auto" w:sz="4" w:space="0"/>
              <w:right w:val="single" w:color="auto" w:sz="4" w:space="0"/>
            </w:tcBorders>
            <w:vAlign w:val="center"/>
          </w:tcPr>
          <w:p>
            <w:pPr>
              <w:jc w:val="center"/>
              <w:rPr>
                <w:rFonts w:ascii="宋体" w:hAnsi="宋体"/>
                <w:bCs/>
                <w:color w:val="000000"/>
                <w:sz w:val="18"/>
                <w:szCs w:val="18"/>
              </w:rPr>
            </w:pPr>
          </w:p>
        </w:tc>
        <w:tc>
          <w:tcPr>
            <w:tcW w:w="734" w:type="dxa"/>
            <w:vMerge w:val="continue"/>
            <w:tcBorders>
              <w:left w:val="single" w:color="auto" w:sz="4" w:space="0"/>
              <w:right w:val="single" w:color="auto" w:sz="4" w:space="0"/>
            </w:tcBorders>
            <w:vAlign w:val="center"/>
          </w:tcPr>
          <w:p>
            <w:pPr>
              <w:jc w:val="center"/>
              <w:rPr>
                <w:rFonts w:ascii="宋体" w:hAnsi="宋体"/>
                <w:bCs/>
                <w:color w:val="000000"/>
                <w:sz w:val="18"/>
                <w:szCs w:val="18"/>
              </w:rPr>
            </w:pPr>
          </w:p>
        </w:tc>
        <w:tc>
          <w:tcPr>
            <w:tcW w:w="690" w:type="dxa"/>
            <w:vMerge w:val="continue"/>
            <w:tcBorders>
              <w:left w:val="single" w:color="auto" w:sz="4" w:space="0"/>
              <w:right w:val="single" w:color="auto" w:sz="4" w:space="0"/>
            </w:tcBorders>
            <w:vAlign w:val="center"/>
          </w:tcPr>
          <w:p>
            <w:pPr>
              <w:jc w:val="center"/>
              <w:rPr>
                <w:rFonts w:ascii="宋体" w:hAnsi="宋体"/>
                <w:bCs/>
                <w:color w:val="000000"/>
                <w:sz w:val="18"/>
                <w:szCs w:val="18"/>
              </w:rPr>
            </w:pPr>
          </w:p>
        </w:tc>
        <w:tc>
          <w:tcPr>
            <w:tcW w:w="3431" w:type="dxa"/>
            <w:vMerge w:val="restart"/>
            <w:tcBorders>
              <w:top w:val="single" w:color="auto" w:sz="4" w:space="0"/>
              <w:left w:val="single" w:color="auto" w:sz="4" w:space="0"/>
              <w:right w:val="single" w:color="auto" w:sz="4" w:space="0"/>
            </w:tcBorders>
            <w:vAlign w:val="center"/>
          </w:tcPr>
          <w:p>
            <w:pPr>
              <w:rPr>
                <w:rFonts w:ascii="宋体" w:hAnsi="宋体"/>
                <w:bCs/>
                <w:color w:val="000000"/>
                <w:sz w:val="18"/>
                <w:szCs w:val="18"/>
              </w:rPr>
            </w:pPr>
            <w:r>
              <w:rPr>
                <w:rFonts w:hint="eastAsia" w:ascii="宋体" w:hAnsi="宋体"/>
                <w:bCs/>
                <w:color w:val="000000"/>
                <w:sz w:val="18"/>
                <w:szCs w:val="18"/>
              </w:rPr>
              <w:t>2．组织实施方案</w:t>
            </w:r>
          </w:p>
          <w:p>
            <w:pPr>
              <w:rPr>
                <w:rFonts w:ascii="宋体" w:hAnsi="宋体"/>
                <w:bCs/>
                <w:color w:val="FF0000"/>
                <w:sz w:val="18"/>
                <w:szCs w:val="18"/>
              </w:rPr>
            </w:pPr>
            <w:r>
              <w:rPr>
                <w:rFonts w:hint="eastAsia" w:ascii="宋体" w:hAnsi="宋体"/>
                <w:bCs/>
                <w:color w:val="000000"/>
                <w:sz w:val="18"/>
                <w:szCs w:val="18"/>
              </w:rPr>
              <w:t>（技术方案与实现）</w:t>
            </w: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0-4</w:t>
            </w:r>
          </w:p>
        </w:tc>
        <w:tc>
          <w:tcPr>
            <w:tcW w:w="2762" w:type="dxa"/>
            <w:tcBorders>
              <w:top w:val="single" w:color="auto" w:sz="4" w:space="0"/>
              <w:left w:val="single" w:color="auto" w:sz="4" w:space="0"/>
              <w:bottom w:val="single" w:color="auto" w:sz="4" w:space="0"/>
              <w:right w:val="single" w:color="auto" w:sz="4" w:space="0"/>
            </w:tcBorders>
          </w:tcPr>
          <w:p>
            <w:pPr>
              <w:jc w:val="left"/>
              <w:rPr>
                <w:rFonts w:ascii="宋体" w:hAnsi="宋体"/>
                <w:color w:val="000000"/>
                <w:sz w:val="18"/>
                <w:szCs w:val="18"/>
              </w:rPr>
            </w:pPr>
            <w:r>
              <w:rPr>
                <w:rFonts w:hint="eastAsia" w:ascii="宋体" w:hAnsi="宋体"/>
                <w:color w:val="auto"/>
                <w:sz w:val="18"/>
                <w:szCs w:val="18"/>
              </w:rPr>
              <w:t>项目组人员要求:高级UI设计</w:t>
            </w:r>
            <w:r>
              <w:rPr>
                <w:rFonts w:ascii="宋体" w:hAnsi="宋体"/>
                <w:color w:val="auto"/>
                <w:sz w:val="18"/>
                <w:szCs w:val="18"/>
              </w:rPr>
              <w:t>师</w:t>
            </w:r>
            <w:r>
              <w:rPr>
                <w:rFonts w:hint="eastAsia" w:ascii="宋体" w:hAnsi="宋体"/>
                <w:color w:val="auto"/>
                <w:sz w:val="18"/>
                <w:szCs w:val="18"/>
              </w:rPr>
              <w:t>1名</w:t>
            </w:r>
            <w:r>
              <w:rPr>
                <w:rFonts w:ascii="宋体" w:hAnsi="宋体"/>
                <w:color w:val="auto"/>
                <w:sz w:val="18"/>
                <w:szCs w:val="18"/>
              </w:rPr>
              <w:t>，高级平面设计师</w:t>
            </w:r>
            <w:r>
              <w:rPr>
                <w:rFonts w:hint="eastAsia" w:ascii="宋体" w:hAnsi="宋体"/>
                <w:color w:val="auto"/>
                <w:sz w:val="18"/>
                <w:szCs w:val="18"/>
              </w:rPr>
              <w:t>1名</w:t>
            </w:r>
            <w:r>
              <w:rPr>
                <w:rFonts w:ascii="宋体" w:hAnsi="宋体"/>
                <w:color w:val="auto"/>
                <w:sz w:val="18"/>
                <w:szCs w:val="18"/>
              </w:rPr>
              <w:t>，高级软件开发师</w:t>
            </w:r>
            <w:r>
              <w:rPr>
                <w:rFonts w:hint="eastAsia" w:ascii="宋体" w:hAnsi="宋体"/>
                <w:color w:val="auto"/>
                <w:sz w:val="18"/>
                <w:szCs w:val="18"/>
              </w:rPr>
              <w:t>1名</w:t>
            </w:r>
            <w:r>
              <w:rPr>
                <w:rFonts w:ascii="宋体" w:hAnsi="宋体"/>
                <w:color w:val="auto"/>
                <w:sz w:val="18"/>
                <w:szCs w:val="18"/>
              </w:rPr>
              <w:t>，资深程序</w:t>
            </w:r>
            <w:r>
              <w:rPr>
                <w:rFonts w:hint="eastAsia" w:ascii="宋体" w:hAnsi="宋体"/>
                <w:color w:val="auto"/>
                <w:sz w:val="18"/>
                <w:szCs w:val="18"/>
              </w:rPr>
              <w:t>员1名，资深</w:t>
            </w:r>
            <w:r>
              <w:rPr>
                <w:rFonts w:ascii="宋体" w:hAnsi="宋体"/>
                <w:color w:val="auto"/>
                <w:sz w:val="18"/>
                <w:szCs w:val="18"/>
              </w:rPr>
              <w:t>网站策划</w:t>
            </w:r>
            <w:r>
              <w:rPr>
                <w:rFonts w:hint="eastAsia" w:ascii="宋体" w:hAnsi="宋体"/>
                <w:color w:val="auto"/>
                <w:sz w:val="18"/>
                <w:szCs w:val="18"/>
              </w:rPr>
              <w:t>1名</w:t>
            </w:r>
            <w:r>
              <w:rPr>
                <w:rFonts w:ascii="宋体" w:hAnsi="宋体"/>
                <w:color w:val="auto"/>
                <w:sz w:val="18"/>
                <w:szCs w:val="18"/>
              </w:rPr>
              <w:t>，满足</w:t>
            </w:r>
            <w:r>
              <w:rPr>
                <w:rFonts w:hint="eastAsia" w:ascii="宋体" w:hAnsi="宋体"/>
                <w:color w:val="auto"/>
                <w:sz w:val="18"/>
                <w:szCs w:val="18"/>
              </w:rPr>
              <w:t>人员</w:t>
            </w:r>
            <w:r>
              <w:rPr>
                <w:rFonts w:ascii="宋体" w:hAnsi="宋体"/>
                <w:color w:val="auto"/>
                <w:sz w:val="18"/>
                <w:szCs w:val="18"/>
              </w:rPr>
              <w:t>构成得</w:t>
            </w:r>
            <w:r>
              <w:rPr>
                <w:rFonts w:hint="eastAsia" w:ascii="宋体" w:hAnsi="宋体"/>
                <w:color w:val="auto"/>
                <w:sz w:val="18"/>
                <w:szCs w:val="18"/>
              </w:rPr>
              <w:t>4分；项目组</w:t>
            </w:r>
            <w:r>
              <w:rPr>
                <w:rFonts w:ascii="宋体" w:hAnsi="宋体"/>
                <w:color w:val="auto"/>
                <w:sz w:val="18"/>
                <w:szCs w:val="18"/>
              </w:rPr>
              <w:t>人员满足至少</w:t>
            </w:r>
            <w:r>
              <w:rPr>
                <w:rFonts w:hint="eastAsia" w:ascii="宋体" w:hAnsi="宋体"/>
                <w:color w:val="auto"/>
                <w:sz w:val="18"/>
                <w:szCs w:val="18"/>
              </w:rPr>
              <w:t>3人得2分；未足3人不得分。提供证书复印件和公司证明，并加盖本单位公章。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426" w:type="dxa"/>
            <w:vMerge w:val="continue"/>
            <w:tcBorders>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p>
        </w:tc>
        <w:tc>
          <w:tcPr>
            <w:tcW w:w="734" w:type="dxa"/>
            <w:vMerge w:val="continue"/>
            <w:tcBorders>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p>
        </w:tc>
        <w:tc>
          <w:tcPr>
            <w:tcW w:w="690" w:type="dxa"/>
            <w:vMerge w:val="continue"/>
            <w:tcBorders>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p>
        </w:tc>
        <w:tc>
          <w:tcPr>
            <w:tcW w:w="3431" w:type="dxa"/>
            <w:vMerge w:val="continue"/>
            <w:tcBorders>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0-4</w:t>
            </w:r>
          </w:p>
        </w:tc>
        <w:tc>
          <w:tcPr>
            <w:tcW w:w="2762" w:type="dxa"/>
            <w:tcBorders>
              <w:top w:val="single" w:color="auto" w:sz="4" w:space="0"/>
              <w:left w:val="single" w:color="auto" w:sz="4" w:space="0"/>
              <w:bottom w:val="single" w:color="auto" w:sz="4" w:space="0"/>
              <w:right w:val="single" w:color="auto" w:sz="4" w:space="0"/>
            </w:tcBorders>
          </w:tcPr>
          <w:p>
            <w:pPr>
              <w:jc w:val="left"/>
              <w:rPr>
                <w:rFonts w:ascii="宋体" w:hAnsi="宋体"/>
                <w:color w:val="000000"/>
                <w:sz w:val="18"/>
                <w:szCs w:val="18"/>
              </w:rPr>
            </w:pPr>
            <w:r>
              <w:rPr>
                <w:rFonts w:hint="eastAsia" w:ascii="宋体" w:hAnsi="宋体"/>
                <w:color w:val="000000"/>
                <w:sz w:val="18"/>
                <w:szCs w:val="18"/>
              </w:rPr>
              <w:t>考察项目技术实施方案具体内容中对本单位实际情况需求的满足程度。优秀3-4分；一般2-3分；较差1分。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426" w:type="dxa"/>
            <w:vMerge w:val="restart"/>
            <w:tcBorders>
              <w:top w:val="single" w:color="auto" w:sz="4" w:space="0"/>
              <w:left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3</w:t>
            </w:r>
          </w:p>
          <w:p>
            <w:pPr>
              <w:jc w:val="center"/>
              <w:rPr>
                <w:rFonts w:ascii="宋体" w:hAnsi="宋体"/>
                <w:bCs/>
                <w:color w:val="000000"/>
                <w:sz w:val="18"/>
                <w:szCs w:val="18"/>
              </w:rPr>
            </w:pPr>
          </w:p>
        </w:tc>
        <w:tc>
          <w:tcPr>
            <w:tcW w:w="734" w:type="dxa"/>
            <w:vMerge w:val="restart"/>
            <w:tcBorders>
              <w:top w:val="single" w:color="auto" w:sz="4" w:space="0"/>
              <w:left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企业管理水平</w:t>
            </w:r>
          </w:p>
        </w:tc>
        <w:tc>
          <w:tcPr>
            <w:tcW w:w="690" w:type="dxa"/>
            <w:vMerge w:val="restart"/>
            <w:tcBorders>
              <w:top w:val="single" w:color="auto" w:sz="4" w:space="0"/>
              <w:left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11</w:t>
            </w:r>
          </w:p>
        </w:tc>
        <w:tc>
          <w:tcPr>
            <w:tcW w:w="34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color w:val="auto"/>
                <w:sz w:val="18"/>
                <w:szCs w:val="18"/>
              </w:rPr>
            </w:pPr>
            <w:r>
              <w:rPr>
                <w:rFonts w:hint="eastAsia" w:ascii="宋体" w:hAnsi="宋体"/>
                <w:bCs/>
                <w:color w:val="auto"/>
                <w:sz w:val="18"/>
                <w:szCs w:val="18"/>
              </w:rPr>
              <w:t>1投标人具有软件开发</w:t>
            </w:r>
            <w:r>
              <w:rPr>
                <w:rFonts w:ascii="宋体" w:hAnsi="宋体"/>
                <w:bCs/>
                <w:color w:val="auto"/>
                <w:sz w:val="18"/>
                <w:szCs w:val="18"/>
              </w:rPr>
              <w:t>资质</w:t>
            </w: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0或3</w:t>
            </w:r>
          </w:p>
        </w:tc>
        <w:tc>
          <w:tcPr>
            <w:tcW w:w="27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提供有效认证证书复印件，加盖投标人公章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6" w:type="dxa"/>
            <w:vMerge w:val="continue"/>
            <w:tcBorders>
              <w:left w:val="single" w:color="auto" w:sz="4" w:space="0"/>
              <w:right w:val="single" w:color="auto" w:sz="4" w:space="0"/>
            </w:tcBorders>
            <w:vAlign w:val="center"/>
          </w:tcPr>
          <w:p>
            <w:pPr>
              <w:jc w:val="center"/>
            </w:pPr>
          </w:p>
        </w:tc>
        <w:tc>
          <w:tcPr>
            <w:tcW w:w="734" w:type="dxa"/>
            <w:vMerge w:val="continue"/>
            <w:tcBorders>
              <w:left w:val="single" w:color="auto" w:sz="4" w:space="0"/>
              <w:right w:val="single" w:color="auto" w:sz="4" w:space="0"/>
            </w:tcBorders>
            <w:vAlign w:val="center"/>
          </w:tcPr>
          <w:p>
            <w:pPr>
              <w:jc w:val="center"/>
            </w:pPr>
          </w:p>
        </w:tc>
        <w:tc>
          <w:tcPr>
            <w:tcW w:w="690" w:type="dxa"/>
            <w:vMerge w:val="continue"/>
            <w:tcBorders>
              <w:left w:val="single" w:color="auto" w:sz="4" w:space="0"/>
              <w:right w:val="single" w:color="auto" w:sz="4" w:space="0"/>
            </w:tcBorders>
            <w:vAlign w:val="center"/>
          </w:tcPr>
          <w:p>
            <w:pPr>
              <w:jc w:val="cente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auto"/>
              <w:ind w:right="-506" w:rightChars="-241"/>
              <w:rPr>
                <w:rFonts w:ascii="宋体" w:hAnsi="宋体"/>
                <w:bCs/>
                <w:color w:val="auto"/>
                <w:sz w:val="18"/>
                <w:szCs w:val="18"/>
              </w:rPr>
            </w:pPr>
            <w:r>
              <w:rPr>
                <w:rFonts w:hint="eastAsia" w:ascii="宋体" w:hAnsi="宋体"/>
                <w:bCs/>
                <w:color w:val="auto"/>
                <w:sz w:val="18"/>
                <w:szCs w:val="18"/>
              </w:rPr>
              <w:t>2投标人</w:t>
            </w:r>
            <w:r>
              <w:rPr>
                <w:rFonts w:ascii="宋体" w:hAnsi="宋体"/>
                <w:bCs/>
                <w:color w:val="auto"/>
                <w:sz w:val="18"/>
                <w:szCs w:val="18"/>
              </w:rPr>
              <w:t xml:space="preserve">具有平面设计资质 </w:t>
            </w: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0或3</w:t>
            </w:r>
          </w:p>
        </w:tc>
        <w:tc>
          <w:tcPr>
            <w:tcW w:w="27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提供有效认证证书复印件，加盖投标人公章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426" w:type="dxa"/>
            <w:vMerge w:val="continue"/>
            <w:tcBorders>
              <w:left w:val="single" w:color="auto" w:sz="4" w:space="0"/>
              <w:right w:val="single" w:color="auto" w:sz="4" w:space="0"/>
            </w:tcBorders>
            <w:vAlign w:val="center"/>
          </w:tcPr>
          <w:p>
            <w:pPr>
              <w:jc w:val="center"/>
              <w:rPr>
                <w:rFonts w:ascii="宋体" w:hAnsi="宋体"/>
                <w:bCs/>
                <w:color w:val="000000"/>
                <w:sz w:val="18"/>
                <w:szCs w:val="18"/>
              </w:rPr>
            </w:pPr>
          </w:p>
        </w:tc>
        <w:tc>
          <w:tcPr>
            <w:tcW w:w="734" w:type="dxa"/>
            <w:vMerge w:val="continue"/>
            <w:tcBorders>
              <w:left w:val="single" w:color="auto" w:sz="4" w:space="0"/>
              <w:right w:val="single" w:color="auto" w:sz="4" w:space="0"/>
            </w:tcBorders>
            <w:vAlign w:val="center"/>
          </w:tcPr>
          <w:p>
            <w:pPr>
              <w:jc w:val="center"/>
              <w:rPr>
                <w:rFonts w:ascii="宋体" w:hAnsi="宋体"/>
                <w:bCs/>
                <w:color w:val="000000"/>
                <w:sz w:val="18"/>
                <w:szCs w:val="18"/>
              </w:rPr>
            </w:pPr>
          </w:p>
        </w:tc>
        <w:tc>
          <w:tcPr>
            <w:tcW w:w="690" w:type="dxa"/>
            <w:vMerge w:val="continue"/>
            <w:tcBorders>
              <w:left w:val="single" w:color="auto" w:sz="4" w:space="0"/>
              <w:right w:val="single" w:color="auto" w:sz="4" w:space="0"/>
            </w:tcBorders>
            <w:vAlign w:val="center"/>
          </w:tcPr>
          <w:p>
            <w:pPr>
              <w:jc w:val="center"/>
              <w:rPr>
                <w:rFonts w:ascii="宋体" w:hAnsi="宋体"/>
                <w:bCs/>
                <w:color w:val="000000"/>
                <w:sz w:val="18"/>
                <w:szCs w:val="18"/>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auto"/>
              <w:ind w:right="-506" w:rightChars="-241"/>
              <w:rPr>
                <w:rFonts w:ascii="宋体" w:hAnsi="宋体"/>
                <w:bCs/>
                <w:color w:val="000000"/>
                <w:sz w:val="18"/>
                <w:szCs w:val="18"/>
              </w:rPr>
            </w:pPr>
            <w:r>
              <w:rPr>
                <w:rFonts w:hint="eastAsia" w:ascii="宋体" w:hAnsi="宋体"/>
                <w:bCs/>
                <w:color w:val="000000"/>
                <w:sz w:val="18"/>
                <w:szCs w:val="18"/>
              </w:rPr>
              <w:t>3有效的信息安全管理体系认证资质</w:t>
            </w: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0或3</w:t>
            </w:r>
          </w:p>
        </w:tc>
        <w:tc>
          <w:tcPr>
            <w:tcW w:w="27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提供有效认证证书复印件，加盖投标人公章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426" w:type="dxa"/>
            <w:vMerge w:val="continue"/>
            <w:tcBorders>
              <w:left w:val="single" w:color="auto" w:sz="4" w:space="0"/>
              <w:right w:val="single" w:color="auto" w:sz="4" w:space="0"/>
            </w:tcBorders>
            <w:vAlign w:val="center"/>
          </w:tcPr>
          <w:p>
            <w:pPr>
              <w:jc w:val="center"/>
              <w:rPr>
                <w:rFonts w:ascii="宋体" w:hAnsi="宋体"/>
                <w:bCs/>
                <w:color w:val="000000"/>
                <w:sz w:val="18"/>
                <w:szCs w:val="18"/>
              </w:rPr>
            </w:pPr>
          </w:p>
        </w:tc>
        <w:tc>
          <w:tcPr>
            <w:tcW w:w="734" w:type="dxa"/>
            <w:vMerge w:val="continue"/>
            <w:tcBorders>
              <w:left w:val="single" w:color="auto" w:sz="4" w:space="0"/>
              <w:right w:val="single" w:color="auto" w:sz="4" w:space="0"/>
            </w:tcBorders>
            <w:vAlign w:val="center"/>
          </w:tcPr>
          <w:p>
            <w:pPr>
              <w:jc w:val="center"/>
              <w:rPr>
                <w:rFonts w:ascii="宋体" w:hAnsi="宋体"/>
                <w:bCs/>
                <w:color w:val="000000"/>
                <w:sz w:val="18"/>
                <w:szCs w:val="18"/>
              </w:rPr>
            </w:pPr>
          </w:p>
        </w:tc>
        <w:tc>
          <w:tcPr>
            <w:tcW w:w="690" w:type="dxa"/>
            <w:vMerge w:val="continue"/>
            <w:tcBorders>
              <w:left w:val="single" w:color="auto" w:sz="4" w:space="0"/>
              <w:right w:val="single" w:color="auto" w:sz="4" w:space="0"/>
            </w:tcBorders>
            <w:vAlign w:val="center"/>
          </w:tcPr>
          <w:p>
            <w:pPr>
              <w:jc w:val="center"/>
              <w:rPr>
                <w:rFonts w:ascii="宋体" w:hAnsi="宋体"/>
                <w:bCs/>
                <w:color w:val="000000"/>
                <w:sz w:val="18"/>
                <w:szCs w:val="18"/>
              </w:rPr>
            </w:pPr>
          </w:p>
        </w:tc>
        <w:tc>
          <w:tcPr>
            <w:tcW w:w="3431"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000000"/>
                <w:sz w:val="18"/>
                <w:szCs w:val="18"/>
              </w:rPr>
            </w:pPr>
            <w:r>
              <w:rPr>
                <w:rFonts w:hint="eastAsia" w:ascii="宋体" w:hAnsi="宋体"/>
                <w:bCs/>
                <w:color w:val="000000"/>
                <w:sz w:val="18"/>
                <w:szCs w:val="18"/>
              </w:rPr>
              <w:t>4高新技术企业认定证书</w:t>
            </w: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0或2</w:t>
            </w:r>
          </w:p>
        </w:tc>
        <w:tc>
          <w:tcPr>
            <w:tcW w:w="27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提供有效认证证书复印件，加盖投标人公章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426" w:type="dxa"/>
            <w:vMerge w:val="restart"/>
            <w:tcBorders>
              <w:top w:val="single" w:color="auto" w:sz="4" w:space="0"/>
              <w:left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4</w:t>
            </w:r>
          </w:p>
        </w:tc>
        <w:tc>
          <w:tcPr>
            <w:tcW w:w="734" w:type="dxa"/>
            <w:vMerge w:val="restart"/>
            <w:tcBorders>
              <w:top w:val="single" w:color="auto" w:sz="4" w:space="0"/>
              <w:left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服务</w:t>
            </w:r>
          </w:p>
          <w:p>
            <w:pPr>
              <w:jc w:val="center"/>
              <w:rPr>
                <w:rFonts w:ascii="宋体" w:hAnsi="宋体"/>
                <w:bCs/>
                <w:color w:val="000000"/>
                <w:sz w:val="18"/>
                <w:szCs w:val="18"/>
              </w:rPr>
            </w:pPr>
            <w:r>
              <w:rPr>
                <w:rFonts w:hint="eastAsia" w:ascii="宋体" w:hAnsi="宋体"/>
                <w:bCs/>
                <w:color w:val="000000"/>
                <w:sz w:val="18"/>
                <w:szCs w:val="18"/>
              </w:rPr>
              <w:t>承诺</w:t>
            </w:r>
          </w:p>
        </w:tc>
        <w:tc>
          <w:tcPr>
            <w:tcW w:w="690" w:type="dxa"/>
            <w:vMerge w:val="restart"/>
            <w:tcBorders>
              <w:top w:val="single" w:color="auto" w:sz="4" w:space="0"/>
              <w:left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11</w:t>
            </w:r>
          </w:p>
        </w:tc>
        <w:tc>
          <w:tcPr>
            <w:tcW w:w="3431"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000000"/>
                <w:sz w:val="18"/>
                <w:szCs w:val="18"/>
              </w:rPr>
            </w:pPr>
            <w:r>
              <w:rPr>
                <w:rFonts w:hint="eastAsia" w:ascii="宋体" w:hAnsi="宋体"/>
                <w:bCs/>
                <w:color w:val="000000"/>
                <w:sz w:val="18"/>
                <w:szCs w:val="18"/>
              </w:rPr>
              <w:t>1.质量保证期</w:t>
            </w: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r>
              <w:rPr>
                <w:rFonts w:hint="eastAsia" w:ascii="宋体" w:hAnsi="宋体"/>
                <w:bCs/>
                <w:color w:val="000000"/>
                <w:sz w:val="18"/>
                <w:szCs w:val="18"/>
              </w:rPr>
              <w:t>0-4</w:t>
            </w:r>
          </w:p>
        </w:tc>
        <w:tc>
          <w:tcPr>
            <w:tcW w:w="2762"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000000"/>
                <w:sz w:val="18"/>
                <w:szCs w:val="18"/>
              </w:rPr>
            </w:pPr>
            <w:r>
              <w:rPr>
                <w:rFonts w:hint="eastAsia" w:ascii="宋体" w:hAnsi="宋体"/>
                <w:bCs/>
                <w:color w:val="000000"/>
                <w:sz w:val="18"/>
                <w:szCs w:val="18"/>
              </w:rPr>
              <w:t>满足招标文件要求得2分，超出招标文件每多一年加1分，最高4分，不满足招标文件要求，不得分。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426" w:type="dxa"/>
            <w:vMerge w:val="continue"/>
            <w:tcBorders>
              <w:left w:val="single" w:color="auto" w:sz="4" w:space="0"/>
              <w:right w:val="single" w:color="auto" w:sz="4" w:space="0"/>
            </w:tcBorders>
            <w:vAlign w:val="center"/>
          </w:tcPr>
          <w:p>
            <w:pPr>
              <w:jc w:val="center"/>
              <w:rPr>
                <w:rFonts w:ascii="宋体" w:hAnsi="宋体"/>
                <w:bCs/>
                <w:color w:val="000000"/>
                <w:sz w:val="18"/>
                <w:szCs w:val="18"/>
              </w:rPr>
            </w:pPr>
          </w:p>
        </w:tc>
        <w:tc>
          <w:tcPr>
            <w:tcW w:w="734" w:type="dxa"/>
            <w:vMerge w:val="continue"/>
            <w:tcBorders>
              <w:left w:val="single" w:color="auto" w:sz="4" w:space="0"/>
              <w:right w:val="single" w:color="auto" w:sz="4" w:space="0"/>
            </w:tcBorders>
            <w:vAlign w:val="center"/>
          </w:tcPr>
          <w:p>
            <w:pPr>
              <w:jc w:val="center"/>
              <w:rPr>
                <w:rFonts w:ascii="宋体" w:hAnsi="宋体"/>
                <w:bCs/>
                <w:color w:val="000000"/>
                <w:sz w:val="18"/>
                <w:szCs w:val="18"/>
              </w:rPr>
            </w:pPr>
          </w:p>
        </w:tc>
        <w:tc>
          <w:tcPr>
            <w:tcW w:w="690" w:type="dxa"/>
            <w:vMerge w:val="continue"/>
            <w:tcBorders>
              <w:left w:val="single" w:color="auto" w:sz="4" w:space="0"/>
              <w:right w:val="single" w:color="auto" w:sz="4" w:space="0"/>
            </w:tcBorders>
            <w:vAlign w:val="center"/>
          </w:tcPr>
          <w:p>
            <w:pPr>
              <w:jc w:val="center"/>
              <w:rPr>
                <w:rFonts w:ascii="宋体" w:hAnsi="宋体"/>
                <w:bCs/>
                <w:color w:val="000000"/>
                <w:sz w:val="18"/>
                <w:szCs w:val="18"/>
              </w:rPr>
            </w:pPr>
          </w:p>
        </w:tc>
        <w:tc>
          <w:tcPr>
            <w:tcW w:w="3431"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000000"/>
                <w:sz w:val="18"/>
                <w:szCs w:val="18"/>
              </w:rPr>
            </w:pPr>
            <w:r>
              <w:rPr>
                <w:rFonts w:hint="eastAsia" w:ascii="宋体" w:hAnsi="宋体"/>
                <w:bCs/>
                <w:color w:val="000000"/>
                <w:sz w:val="18"/>
                <w:szCs w:val="18"/>
              </w:rPr>
              <w:t>2.培训计划</w:t>
            </w: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r>
              <w:rPr>
                <w:rFonts w:ascii="宋体" w:hAnsi="宋体"/>
                <w:bCs/>
                <w:color w:val="000000"/>
                <w:sz w:val="18"/>
                <w:szCs w:val="18"/>
              </w:rPr>
              <w:t>0—</w:t>
            </w:r>
            <w:r>
              <w:rPr>
                <w:rFonts w:hint="eastAsia" w:ascii="宋体" w:hAnsi="宋体"/>
                <w:bCs/>
                <w:color w:val="000000"/>
                <w:sz w:val="18"/>
                <w:szCs w:val="18"/>
              </w:rPr>
              <w:t>3</w:t>
            </w:r>
          </w:p>
        </w:tc>
        <w:tc>
          <w:tcPr>
            <w:tcW w:w="2762"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000000"/>
                <w:sz w:val="18"/>
                <w:szCs w:val="18"/>
              </w:rPr>
            </w:pPr>
            <w:r>
              <w:rPr>
                <w:rFonts w:hint="eastAsia" w:ascii="宋体" w:hAnsi="宋体"/>
                <w:bCs/>
                <w:color w:val="000000"/>
                <w:sz w:val="18"/>
                <w:szCs w:val="18"/>
              </w:rPr>
              <w:t>培训服务：培训计划详实，切实可行，并针对本项目组织定制化培训，考虑到项目特点。</w:t>
            </w:r>
          </w:p>
          <w:p>
            <w:pPr>
              <w:rPr>
                <w:rFonts w:ascii="宋体" w:hAnsi="宋体"/>
                <w:bCs/>
                <w:color w:val="000000"/>
                <w:sz w:val="18"/>
                <w:szCs w:val="18"/>
              </w:rPr>
            </w:pPr>
            <w:r>
              <w:rPr>
                <w:rFonts w:hint="eastAsia" w:ascii="宋体" w:hAnsi="宋体"/>
                <w:bCs/>
                <w:color w:val="000000"/>
                <w:sz w:val="18"/>
                <w:szCs w:val="18"/>
              </w:rPr>
              <w:t>（</w:t>
            </w:r>
            <w:r>
              <w:rPr>
                <w:rFonts w:hint="eastAsia" w:ascii="宋体" w:hAnsi="宋体"/>
                <w:color w:val="000000"/>
                <w:sz w:val="18"/>
                <w:szCs w:val="18"/>
              </w:rPr>
              <w:t>优秀</w:t>
            </w:r>
            <w:r>
              <w:rPr>
                <w:rFonts w:hint="eastAsia" w:ascii="宋体" w:hAnsi="宋体"/>
                <w:bCs/>
                <w:color w:val="000000"/>
                <w:sz w:val="18"/>
                <w:szCs w:val="18"/>
              </w:rPr>
              <w:t>3分、良好2分、一般</w:t>
            </w:r>
            <w:r>
              <w:rPr>
                <w:rFonts w:ascii="宋体" w:hAnsi="宋体"/>
                <w:bCs/>
                <w:color w:val="000000"/>
                <w:sz w:val="18"/>
                <w:szCs w:val="18"/>
              </w:rPr>
              <w:t>1</w:t>
            </w:r>
            <w:r>
              <w:rPr>
                <w:rFonts w:hint="eastAsia" w:ascii="宋体" w:hAnsi="宋体"/>
                <w:bCs/>
                <w:color w:val="00000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3" w:hRule="atLeast"/>
        </w:trPr>
        <w:tc>
          <w:tcPr>
            <w:tcW w:w="426" w:type="dxa"/>
            <w:vMerge w:val="continue"/>
            <w:tcBorders>
              <w:left w:val="single" w:color="auto" w:sz="4" w:space="0"/>
              <w:right w:val="single" w:color="auto" w:sz="4" w:space="0"/>
            </w:tcBorders>
            <w:vAlign w:val="center"/>
          </w:tcPr>
          <w:p>
            <w:pPr>
              <w:jc w:val="center"/>
              <w:rPr>
                <w:rFonts w:ascii="宋体" w:hAnsi="宋体"/>
                <w:bCs/>
                <w:color w:val="000000"/>
                <w:sz w:val="18"/>
                <w:szCs w:val="18"/>
              </w:rPr>
            </w:pPr>
          </w:p>
        </w:tc>
        <w:tc>
          <w:tcPr>
            <w:tcW w:w="734" w:type="dxa"/>
            <w:vMerge w:val="continue"/>
            <w:tcBorders>
              <w:left w:val="single" w:color="auto" w:sz="4" w:space="0"/>
              <w:right w:val="single" w:color="auto" w:sz="4" w:space="0"/>
            </w:tcBorders>
            <w:vAlign w:val="center"/>
          </w:tcPr>
          <w:p>
            <w:pPr>
              <w:jc w:val="center"/>
              <w:rPr>
                <w:rFonts w:ascii="宋体" w:hAnsi="宋体"/>
                <w:bCs/>
                <w:color w:val="000000"/>
                <w:sz w:val="18"/>
                <w:szCs w:val="18"/>
              </w:rPr>
            </w:pPr>
          </w:p>
        </w:tc>
        <w:tc>
          <w:tcPr>
            <w:tcW w:w="690" w:type="dxa"/>
            <w:vMerge w:val="continue"/>
            <w:tcBorders>
              <w:left w:val="single" w:color="auto" w:sz="4" w:space="0"/>
              <w:right w:val="single" w:color="auto" w:sz="4" w:space="0"/>
            </w:tcBorders>
            <w:vAlign w:val="center"/>
          </w:tcPr>
          <w:p>
            <w:pPr>
              <w:jc w:val="center"/>
              <w:rPr>
                <w:rFonts w:ascii="宋体" w:hAnsi="宋体"/>
                <w:bCs/>
                <w:color w:val="000000"/>
                <w:sz w:val="18"/>
                <w:szCs w:val="18"/>
              </w:rPr>
            </w:pPr>
          </w:p>
        </w:tc>
        <w:tc>
          <w:tcPr>
            <w:tcW w:w="3431" w:type="dxa"/>
            <w:tcBorders>
              <w:top w:val="single" w:color="auto" w:sz="4" w:space="0"/>
              <w:left w:val="single" w:color="auto" w:sz="4" w:space="0"/>
              <w:bottom w:val="single" w:color="auto" w:sz="4" w:space="0"/>
              <w:right w:val="single" w:color="auto" w:sz="4" w:space="0"/>
            </w:tcBorders>
            <w:vAlign w:val="center"/>
          </w:tcPr>
          <w:p>
            <w:pPr>
              <w:tabs>
                <w:tab w:val="left" w:pos="2595"/>
              </w:tabs>
              <w:rPr>
                <w:rFonts w:ascii="宋体" w:hAnsi="宋体"/>
                <w:bCs/>
                <w:color w:val="000000"/>
                <w:sz w:val="18"/>
                <w:szCs w:val="18"/>
              </w:rPr>
            </w:pPr>
            <w:r>
              <w:rPr>
                <w:rFonts w:hint="eastAsia" w:ascii="宋体" w:hAnsi="宋体"/>
                <w:color w:val="000000"/>
                <w:kern w:val="0"/>
                <w:sz w:val="18"/>
                <w:szCs w:val="18"/>
              </w:rPr>
              <w:t>3.售后服务方案</w:t>
            </w: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18"/>
                <w:szCs w:val="18"/>
              </w:rPr>
            </w:pPr>
            <w:r>
              <w:rPr>
                <w:rFonts w:ascii="宋体" w:hAnsi="宋体"/>
                <w:bCs/>
                <w:color w:val="000000"/>
                <w:sz w:val="18"/>
                <w:szCs w:val="18"/>
              </w:rPr>
              <w:t>0—</w:t>
            </w:r>
            <w:r>
              <w:rPr>
                <w:rFonts w:hint="eastAsia" w:ascii="宋体" w:hAnsi="宋体"/>
                <w:bCs/>
                <w:color w:val="000000"/>
                <w:sz w:val="18"/>
                <w:szCs w:val="18"/>
              </w:rPr>
              <w:t>4</w:t>
            </w:r>
          </w:p>
        </w:tc>
        <w:tc>
          <w:tcPr>
            <w:tcW w:w="2762"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000000"/>
                <w:sz w:val="18"/>
                <w:szCs w:val="18"/>
              </w:rPr>
            </w:pPr>
            <w:r>
              <w:rPr>
                <w:rFonts w:hint="eastAsia" w:ascii="宋体" w:hAnsi="宋体"/>
                <w:bCs/>
                <w:color w:val="000000"/>
                <w:sz w:val="18"/>
                <w:szCs w:val="18"/>
              </w:rPr>
              <w:t>售后服务方案全面细致，具有完善服务保障体系，并能提供本地化支持和服务，方案切实可行，有项目特点。</w:t>
            </w:r>
          </w:p>
          <w:p>
            <w:pPr>
              <w:rPr>
                <w:rFonts w:ascii="宋体" w:hAnsi="宋体"/>
                <w:bCs/>
                <w:color w:val="000000"/>
                <w:sz w:val="18"/>
                <w:szCs w:val="18"/>
              </w:rPr>
            </w:pPr>
            <w:r>
              <w:rPr>
                <w:rFonts w:hint="eastAsia" w:ascii="宋体" w:hAnsi="宋体" w:cs="宋体"/>
                <w:kern w:val="0"/>
                <w:sz w:val="18"/>
                <w:szCs w:val="18"/>
              </w:rPr>
              <w:t>（</w:t>
            </w:r>
            <w:r>
              <w:rPr>
                <w:rFonts w:hint="eastAsia" w:ascii="宋体" w:hAnsi="宋体"/>
                <w:color w:val="000000"/>
                <w:sz w:val="18"/>
                <w:szCs w:val="18"/>
              </w:rPr>
              <w:t>优秀得4分， 良好2－3分，一般得1分。</w:t>
            </w:r>
            <w:r>
              <w:rPr>
                <w:rFonts w:hint="eastAsia" w:ascii="宋体" w:hAnsi="宋体" w:cs="宋体"/>
                <w:kern w:val="0"/>
                <w:sz w:val="18"/>
                <w:szCs w:val="18"/>
              </w:rPr>
              <w:t>）</w:t>
            </w:r>
          </w:p>
        </w:tc>
      </w:tr>
    </w:tbl>
    <w:p>
      <w:pPr>
        <w:ind w:firstLine="420" w:firstLineChars="200"/>
        <w:rPr>
          <w:rFonts w:ascii="宋体" w:hAnsi="宋体"/>
          <w:color w:val="000000"/>
          <w:szCs w:val="21"/>
        </w:rPr>
      </w:pPr>
    </w:p>
    <w:p>
      <w:pPr>
        <w:spacing w:line="360" w:lineRule="auto"/>
        <w:ind w:right="-506" w:rightChars="-241"/>
        <w:rPr>
          <w:rFonts w:ascii="宋体" w:hAnsi="宋体"/>
          <w:szCs w:val="21"/>
        </w:rPr>
      </w:pPr>
    </w:p>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2D6E"/>
    <w:multiLevelType w:val="multilevel"/>
    <w:tmpl w:val="0C2C2D6E"/>
    <w:lvl w:ilvl="0" w:tentative="0">
      <w:start w:val="1"/>
      <w:numFmt w:val="decimal"/>
      <w:lvlText w:val="%1"/>
      <w:lvlJc w:val="left"/>
      <w:pPr>
        <w:ind w:left="432" w:hanging="432"/>
      </w:pPr>
      <w:rPr>
        <w:rFonts w:hint="default" w:ascii="Arial" w:hAnsi="Arial" w:cs="Arial"/>
      </w:rPr>
    </w:lvl>
    <w:lvl w:ilvl="1" w:tentative="0">
      <w:start w:val="1"/>
      <w:numFmt w:val="decimal"/>
      <w:lvlText w:val="%1.%2"/>
      <w:lvlJc w:val="left"/>
      <w:pPr>
        <w:ind w:left="576" w:hanging="576"/>
      </w:pPr>
      <w:rPr>
        <w:rFonts w:hint="default" w:ascii="Arial" w:hAnsi="Arial" w:cs="Arial"/>
      </w:r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5F586AF5"/>
    <w:multiLevelType w:val="multilevel"/>
    <w:tmpl w:val="5F586AF5"/>
    <w:lvl w:ilvl="0" w:tentative="0">
      <w:start w:val="1"/>
      <w:numFmt w:val="decimal"/>
      <w:suff w:val="space"/>
      <w:lvlText w:val="%1"/>
      <w:lvlJc w:val="left"/>
      <w:pPr>
        <w:ind w:left="454" w:hanging="454"/>
      </w:pPr>
    </w:lvl>
    <w:lvl w:ilvl="1" w:tentative="0">
      <w:start w:val="1"/>
      <w:numFmt w:val="decimal"/>
      <w:suff w:val="space"/>
      <w:lvlText w:val="%1.%2"/>
      <w:lvlJc w:val="left"/>
      <w:pPr>
        <w:ind w:left="992" w:hanging="992"/>
      </w:pPr>
    </w:lvl>
    <w:lvl w:ilvl="2" w:tentative="0">
      <w:start w:val="1"/>
      <w:numFmt w:val="decimal"/>
      <w:suff w:val="space"/>
      <w:lvlText w:val="%1.%2.%3"/>
      <w:lvlJc w:val="left"/>
      <w:pPr>
        <w:ind w:left="1418" w:hanging="1418"/>
      </w:pPr>
    </w:lvl>
    <w:lvl w:ilvl="3" w:tentative="0">
      <w:start w:val="1"/>
      <w:numFmt w:val="decimal"/>
      <w:lvlRestart w:val="0"/>
      <w:suff w:val="space"/>
      <w:lvlText w:val="%1.%2.%3.%4"/>
      <w:lvlJc w:val="left"/>
      <w:pPr>
        <w:ind w:left="1984" w:hanging="1984"/>
      </w:pPr>
      <w:rPr>
        <w:rFonts w:hint="default" w:ascii="Times New Roman" w:hAnsi="Times New Roman" w:eastAsia="仿宋_GB2312"/>
        <w:b/>
        <w:i w:val="0"/>
        <w:sz w:val="30"/>
        <w:szCs w:val="28"/>
      </w:rPr>
    </w:lvl>
    <w:lvl w:ilvl="4" w:tentative="0">
      <w:start w:val="1"/>
      <w:numFmt w:val="decimal"/>
      <w:suff w:val="space"/>
      <w:lvlText w:val="%1.%2.%3.%4.%5"/>
      <w:lvlJc w:val="left"/>
      <w:pPr>
        <w:ind w:left="2551" w:hanging="2551"/>
      </w:pPr>
      <w:rPr>
        <w:rFonts w:hint="default" w:ascii="Times New Roman" w:hAnsi="Times New Roman" w:eastAsia="仿宋_GB2312"/>
        <w:b/>
        <w:i w:val="0"/>
        <w:sz w:val="28"/>
        <w:szCs w:val="24"/>
      </w:rPr>
    </w:lvl>
    <w:lvl w:ilvl="5" w:tentative="0">
      <w:start w:val="1"/>
      <w:numFmt w:val="decimal"/>
      <w:suff w:val="space"/>
      <w:lvlText w:val="%1.%2.%3.%4.%5.%6"/>
      <w:lvlJc w:val="left"/>
      <w:pPr>
        <w:ind w:left="3260" w:hanging="3260"/>
      </w:pPr>
      <w:rPr>
        <w:rFonts w:hint="eastAsia" w:ascii="Arial Unicode MS" w:hAnsi="Arial Unicode MS" w:eastAsia="宋体"/>
        <w:b/>
        <w:i w:val="0"/>
        <w:sz w:val="24"/>
        <w:szCs w:val="24"/>
      </w:rPr>
    </w:lvl>
    <w:lvl w:ilvl="6" w:tentative="0">
      <w:start w:val="1"/>
      <w:numFmt w:val="decimal"/>
      <w:suff w:val="space"/>
      <w:lvlText w:val="%1.%2.%3.%4.%5.%6.%7"/>
      <w:lvlJc w:val="left"/>
      <w:pPr>
        <w:ind w:left="3827" w:hanging="3827"/>
      </w:pPr>
      <w:rPr>
        <w:rFonts w:hint="eastAsia"/>
      </w:rPr>
    </w:lvl>
    <w:lvl w:ilvl="7" w:tentative="0">
      <w:start w:val="1"/>
      <w:numFmt w:val="decimal"/>
      <w:suff w:val="space"/>
      <w:lvlText w:val="%1.%2.%3.%4.%5.%6.%7.%8"/>
      <w:lvlJc w:val="left"/>
      <w:pPr>
        <w:ind w:left="4394" w:hanging="4394"/>
      </w:pPr>
      <w:rPr>
        <w:rFonts w:hint="eastAsia"/>
      </w:rPr>
    </w:lvl>
    <w:lvl w:ilvl="8" w:tentative="0">
      <w:start w:val="1"/>
      <w:numFmt w:val="decimal"/>
      <w:suff w:val="space"/>
      <w:lvlText w:val="%1.%2.%3.%4.%5.%6.%7.%8.%9"/>
      <w:lvlJc w:val="left"/>
      <w:pPr>
        <w:ind w:left="5102" w:hanging="5102"/>
      </w:pPr>
      <w:rPr>
        <w:rFonts w:hint="eastAsia"/>
      </w:rPr>
    </w:lvl>
  </w:abstractNum>
  <w:abstractNum w:abstractNumId="2">
    <w:nsid w:val="6DEB0D47"/>
    <w:multiLevelType w:val="multilevel"/>
    <w:tmpl w:val="6DEB0D47"/>
    <w:lvl w:ilvl="0" w:tentative="0">
      <w:start w:val="1"/>
      <w:numFmt w:val="decimal"/>
      <w:pStyle w:val="2"/>
      <w:suff w:val="space"/>
      <w:lvlText w:val="%1"/>
      <w:lvlJc w:val="left"/>
      <w:pPr>
        <w:ind w:left="432" w:hanging="432"/>
      </w:pPr>
      <w:rPr>
        <w:rFonts w:hint="eastAsia"/>
        <w:sz w:val="44"/>
        <w:szCs w:val="44"/>
        <w:lang w:val="en-US"/>
      </w:rPr>
    </w:lvl>
    <w:lvl w:ilvl="1" w:tentative="0">
      <w:start w:val="1"/>
      <w:numFmt w:val="decimal"/>
      <w:pStyle w:val="3"/>
      <w:suff w:val="space"/>
      <w:lvlText w:val="%1.%2"/>
      <w:lvlJc w:val="left"/>
      <w:pPr>
        <w:ind w:left="576" w:hanging="576"/>
      </w:pPr>
      <w:rPr>
        <w:rFonts w:hint="eastAsia"/>
        <w:sz w:val="36"/>
        <w:szCs w:val="36"/>
        <w:lang w:val="en-US"/>
      </w:rPr>
    </w:lvl>
    <w:lvl w:ilvl="2" w:tentative="0">
      <w:start w:val="1"/>
      <w:numFmt w:val="decimal"/>
      <w:suff w:val="space"/>
      <w:lvlText w:val="%1.%2.%3"/>
      <w:lvlJc w:val="left"/>
      <w:pPr>
        <w:ind w:left="862" w:hanging="720"/>
      </w:pPr>
      <w:rPr>
        <w:rFonts w:hint="eastAsia"/>
        <w:sz w:val="32"/>
        <w:szCs w:val="32"/>
      </w:rPr>
    </w:lvl>
    <w:lvl w:ilvl="3" w:tentative="0">
      <w:start w:val="1"/>
      <w:numFmt w:val="decimal"/>
      <w:suff w:val="space"/>
      <w:lvlText w:val="%1.%2.%3.%4"/>
      <w:lvlJc w:val="left"/>
      <w:pPr>
        <w:ind w:left="864" w:hanging="864"/>
      </w:pPr>
      <w:rPr>
        <w:rFonts w:hint="default" w:ascii="Times New Roman" w:hAnsi="Times New Roman" w:cs="Times New Roman"/>
        <w:sz w:val="28"/>
        <w:szCs w:val="28"/>
      </w:rPr>
    </w:lvl>
    <w:lvl w:ilvl="4" w:tentative="0">
      <w:start w:val="1"/>
      <w:numFmt w:val="decimal"/>
      <w:lvlText w:val="%1.%2.%3.%4.%5."/>
      <w:lvlJc w:val="left"/>
      <w:pPr>
        <w:tabs>
          <w:tab w:val="left" w:pos="420"/>
        </w:tabs>
        <w:ind w:left="420" w:hanging="420"/>
      </w:pPr>
      <w:rPr>
        <w:rFonts w:hint="eastAsia"/>
        <w:sz w:val="24"/>
        <w:szCs w:val="24"/>
        <w:lang w:val="en-US"/>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14F7E"/>
    <w:rsid w:val="00146FBB"/>
    <w:rsid w:val="001D5F48"/>
    <w:rsid w:val="00236614"/>
    <w:rsid w:val="00263FED"/>
    <w:rsid w:val="00332B11"/>
    <w:rsid w:val="003816D8"/>
    <w:rsid w:val="003C1C7C"/>
    <w:rsid w:val="00411D05"/>
    <w:rsid w:val="00440559"/>
    <w:rsid w:val="00466B59"/>
    <w:rsid w:val="0060776E"/>
    <w:rsid w:val="006452D4"/>
    <w:rsid w:val="00663B89"/>
    <w:rsid w:val="00672DEA"/>
    <w:rsid w:val="006F3BBE"/>
    <w:rsid w:val="00710A1E"/>
    <w:rsid w:val="00724BD6"/>
    <w:rsid w:val="007C5576"/>
    <w:rsid w:val="007F223A"/>
    <w:rsid w:val="008C14A5"/>
    <w:rsid w:val="0090197B"/>
    <w:rsid w:val="00942FA2"/>
    <w:rsid w:val="009648B4"/>
    <w:rsid w:val="009B511A"/>
    <w:rsid w:val="00A34018"/>
    <w:rsid w:val="00AC0E71"/>
    <w:rsid w:val="00B20FD6"/>
    <w:rsid w:val="00B2765E"/>
    <w:rsid w:val="00B92C1A"/>
    <w:rsid w:val="00D177A8"/>
    <w:rsid w:val="00D94B9E"/>
    <w:rsid w:val="00DC2B5C"/>
    <w:rsid w:val="00E77452"/>
    <w:rsid w:val="00EA6C7D"/>
    <w:rsid w:val="00F67851"/>
    <w:rsid w:val="00FB618F"/>
    <w:rsid w:val="00FE3E59"/>
    <w:rsid w:val="00FE69EA"/>
    <w:rsid w:val="00FF13B4"/>
    <w:rsid w:val="1875138A"/>
    <w:rsid w:val="2B6C6B92"/>
    <w:rsid w:val="34B152FC"/>
    <w:rsid w:val="471F6483"/>
    <w:rsid w:val="4C2D7BBA"/>
    <w:rsid w:val="54D14347"/>
    <w:rsid w:val="60425AE6"/>
    <w:rsid w:val="6F114F7E"/>
    <w:rsid w:val="77721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pageBreakBefore/>
      <w:numPr>
        <w:ilvl w:val="0"/>
        <w:numId w:val="1"/>
      </w:numPr>
      <w:spacing w:before="312" w:afterLines="50"/>
      <w:jc w:val="left"/>
      <w:outlineLvl w:val="0"/>
    </w:pPr>
    <w:rPr>
      <w:rFonts w:eastAsia="黑体" w:cs="Arial"/>
      <w:b/>
      <w:color w:val="000000"/>
      <w:kern w:val="44"/>
      <w:sz w:val="44"/>
      <w:szCs w:val="44"/>
    </w:rPr>
  </w:style>
  <w:style w:type="paragraph" w:styleId="3">
    <w:name w:val="heading 2"/>
    <w:basedOn w:val="1"/>
    <w:next w:val="1"/>
    <w:unhideWhenUsed/>
    <w:qFormat/>
    <w:uiPriority w:val="0"/>
    <w:pPr>
      <w:keepNext/>
      <w:keepLines/>
      <w:numPr>
        <w:ilvl w:val="1"/>
        <w:numId w:val="1"/>
      </w:numPr>
      <w:spacing w:before="260" w:after="260" w:line="416" w:lineRule="auto"/>
      <w:ind w:left="0"/>
      <w:outlineLvl w:val="1"/>
    </w:pPr>
    <w:rPr>
      <w:rFonts w:ascii="Arial" w:hAnsi="Arial" w:eastAsia="黑体"/>
      <w:b/>
      <w:bCs/>
      <w:sz w:val="32"/>
      <w:szCs w:val="32"/>
    </w:rPr>
  </w:style>
  <w:style w:type="paragraph" w:styleId="4">
    <w:name w:val="heading 3"/>
    <w:basedOn w:val="1"/>
    <w:next w:val="5"/>
    <w:qFormat/>
    <w:uiPriority w:val="0"/>
    <w:pPr>
      <w:keepNext/>
      <w:keepLines/>
      <w:numPr>
        <w:ilvl w:val="2"/>
        <w:numId w:val="2"/>
      </w:numPr>
      <w:spacing w:before="260" w:after="260" w:line="360" w:lineRule="auto"/>
      <w:outlineLvl w:val="2"/>
    </w:pPr>
    <w:rPr>
      <w:b/>
      <w:sz w:val="32"/>
      <w:szCs w:val="20"/>
    </w:rPr>
  </w:style>
  <w:style w:type="character" w:default="1" w:styleId="12">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First Indent"/>
    <w:qFormat/>
    <w:uiPriority w:val="0"/>
    <w:pPr>
      <w:adjustRightInd w:val="0"/>
      <w:spacing w:line="360" w:lineRule="auto"/>
      <w:ind w:firstLine="200" w:firstLineChars="200"/>
      <w:jc w:val="both"/>
      <w:textAlignment w:val="baseline"/>
    </w:pPr>
    <w:rPr>
      <w:rFonts w:ascii="Arial" w:hAnsi="Arial" w:eastAsia="宋体" w:cs="Times New Roman"/>
      <w:kern w:val="2"/>
      <w:sz w:val="24"/>
      <w:szCs w:val="24"/>
      <w:lang w:val="en-US" w:eastAsia="zh-CN" w:bidi="ar-SA"/>
    </w:rPr>
  </w:style>
  <w:style w:type="paragraph" w:styleId="7">
    <w:name w:val="Document Map"/>
    <w:basedOn w:val="1"/>
    <w:link w:val="19"/>
    <w:qFormat/>
    <w:uiPriority w:val="0"/>
    <w:rPr>
      <w:rFonts w:ascii="宋体" w:eastAsia="宋体"/>
      <w:sz w:val="18"/>
      <w:szCs w:val="18"/>
    </w:rPr>
  </w:style>
  <w:style w:type="paragraph" w:styleId="8">
    <w:name w:val="Body Text"/>
    <w:basedOn w:val="1"/>
    <w:qFormat/>
    <w:uiPriority w:val="0"/>
    <w:pPr>
      <w:spacing w:after="120"/>
    </w:pPr>
  </w:style>
  <w:style w:type="paragraph" w:styleId="9">
    <w:name w:val="footer"/>
    <w:basedOn w:val="1"/>
    <w:qFormat/>
    <w:uiPriority w:val="0"/>
    <w:pPr>
      <w:tabs>
        <w:tab w:val="center" w:pos="4153"/>
        <w:tab w:val="right" w:pos="8306"/>
      </w:tabs>
      <w:snapToGrid w:val="0"/>
      <w:ind w:firstLine="200" w:firstLineChars="20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ind w:firstLine="200" w:firstLineChars="20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3">
    <w:name w:val="page number"/>
    <w:basedOn w:val="12"/>
    <w:qFormat/>
    <w:uiPriority w:val="0"/>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模板正文"/>
    <w:basedOn w:val="1"/>
    <w:qFormat/>
    <w:uiPriority w:val="0"/>
    <w:pPr>
      <w:wordWrap w:val="0"/>
      <w:ind w:firstLine="200" w:firstLineChars="200"/>
    </w:pPr>
    <w:rPr>
      <w:rFonts w:eastAsia="仿宋_GB2312" w:cs="宋体"/>
      <w:sz w:val="28"/>
      <w:szCs w:val="21"/>
    </w:rPr>
  </w:style>
  <w:style w:type="paragraph" w:customStyle="1" w:styleId="17">
    <w:name w:val="正文1"/>
    <w:basedOn w:val="1"/>
    <w:qFormat/>
    <w:uiPriority w:val="0"/>
    <w:pPr>
      <w:spacing w:before="120" w:after="120" w:line="360" w:lineRule="auto"/>
      <w:ind w:firstLine="200" w:firstLineChars="200"/>
    </w:pPr>
    <w:rPr>
      <w:rFonts w:ascii="Arial" w:hAnsi="Arial"/>
      <w:sz w:val="24"/>
      <w:szCs w:val="22"/>
    </w:rPr>
  </w:style>
  <w:style w:type="paragraph" w:customStyle="1" w:styleId="18">
    <w:name w:val="正文韩晶"/>
    <w:basedOn w:val="8"/>
    <w:qFormat/>
    <w:uiPriority w:val="0"/>
    <w:pPr>
      <w:spacing w:after="0" w:line="360" w:lineRule="auto"/>
      <w:ind w:firstLine="560" w:firstLineChars="200"/>
      <w:contextualSpacing/>
      <w:jc w:val="left"/>
    </w:pPr>
    <w:rPr>
      <w:rFonts w:ascii="楷体_GB2312" w:hAnsi="宋体" w:eastAsia="楷体_GB2312"/>
      <w:color w:val="000000"/>
      <w:sz w:val="28"/>
      <w:szCs w:val="28"/>
    </w:rPr>
  </w:style>
  <w:style w:type="character" w:customStyle="1" w:styleId="19">
    <w:name w:val="文档结构图 Char"/>
    <w:basedOn w:val="12"/>
    <w:link w:val="7"/>
    <w:qFormat/>
    <w:uiPriority w:val="0"/>
    <w:rPr>
      <w:rFonts w:ascii="宋体" w:eastAsia="宋体"/>
      <w:kern w:val="2"/>
      <w:sz w:val="18"/>
      <w:szCs w:val="18"/>
    </w:rPr>
  </w:style>
  <w:style w:type="paragraph" w:customStyle="1" w:styleId="20">
    <w:name w:val="列出段落1"/>
    <w:basedOn w:val="1"/>
    <w:qFormat/>
    <w:uiPriority w:val="34"/>
    <w:pPr>
      <w:ind w:firstLine="420" w:firstLineChars="200"/>
    </w:pPr>
    <w:rPr>
      <w:rFonts w:ascii="Calibri" w:hAnsi="Calibri" w:eastAsia="宋体" w:cs="Times New Roman"/>
      <w:szCs w:val="22"/>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396</Words>
  <Characters>2263</Characters>
  <Lines>18</Lines>
  <Paragraphs>5</Paragraphs>
  <TotalTime>12</TotalTime>
  <ScaleCrop>false</ScaleCrop>
  <LinksUpToDate>false</LinksUpToDate>
  <CharactersWithSpaces>2654</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2017-04-20T05:15:00Z</dcterms:created>
  <dc:creator>XPStudio</dc:creator>
  <cp:lastModifiedBy>小叉991</cp:lastModifiedBy>
  <dcterms:modified xsi:type="dcterms:W3CDTF">2018-11-07T07:12:42Z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