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B5F" w:rsidRDefault="00CF05DC">
      <w:pPr>
        <w:jc w:val="center"/>
        <w:rPr>
          <w:sz w:val="32"/>
          <w:szCs w:val="32"/>
        </w:rPr>
      </w:pPr>
      <w:bookmarkStart w:id="0" w:name="_GoBack"/>
      <w:r>
        <w:rPr>
          <w:rFonts w:hint="eastAsia"/>
          <w:sz w:val="32"/>
          <w:szCs w:val="32"/>
        </w:rPr>
        <w:t>电子试剂柜技术参数</w:t>
      </w:r>
      <w:bookmarkEnd w:id="0"/>
    </w:p>
    <w:p w:rsidR="00D06B5F" w:rsidRDefault="00D06B5F"/>
    <w:p w:rsidR="00D06B5F" w:rsidRDefault="00CF05DC">
      <w:pPr>
        <w:numPr>
          <w:ilvl w:val="0"/>
          <w:numId w:val="2"/>
        </w:numPr>
        <w:rPr>
          <w:sz w:val="28"/>
          <w:szCs w:val="28"/>
        </w:rPr>
      </w:pPr>
      <w:r>
        <w:rPr>
          <w:rFonts w:hint="eastAsia"/>
          <w:sz w:val="28"/>
          <w:szCs w:val="28"/>
        </w:rPr>
        <w:t>主要用途</w:t>
      </w:r>
    </w:p>
    <w:p w:rsidR="00D06B5F" w:rsidRDefault="00CF05DC">
      <w:pPr>
        <w:ind w:firstLineChars="200" w:firstLine="560"/>
        <w:rPr>
          <w:sz w:val="28"/>
          <w:szCs w:val="28"/>
        </w:rPr>
      </w:pPr>
      <w:r>
        <w:rPr>
          <w:rFonts w:hint="eastAsia"/>
          <w:sz w:val="28"/>
          <w:szCs w:val="28"/>
        </w:rPr>
        <w:t>电子试剂柜作为试剂管理系统的一部分，用于存放管理各类化学试剂。</w:t>
      </w:r>
      <w:r w:rsidR="009F0A27">
        <w:rPr>
          <w:rFonts w:hint="eastAsia"/>
          <w:sz w:val="28"/>
          <w:szCs w:val="28"/>
        </w:rPr>
        <w:t>拟采购</w:t>
      </w:r>
      <w:r w:rsidR="009F0A27">
        <w:rPr>
          <w:rFonts w:hint="eastAsia"/>
          <w:sz w:val="28"/>
          <w:szCs w:val="28"/>
        </w:rPr>
        <w:t>10</w:t>
      </w:r>
      <w:r w:rsidR="009F0A27">
        <w:rPr>
          <w:rFonts w:hint="eastAsia"/>
          <w:sz w:val="28"/>
          <w:szCs w:val="28"/>
        </w:rPr>
        <w:t>台，预算</w:t>
      </w:r>
      <w:r w:rsidR="009F0A27">
        <w:rPr>
          <w:rFonts w:hint="eastAsia"/>
          <w:sz w:val="28"/>
          <w:szCs w:val="28"/>
        </w:rPr>
        <w:t>27</w:t>
      </w:r>
      <w:r w:rsidR="009F0A27">
        <w:rPr>
          <w:rFonts w:hint="eastAsia"/>
          <w:sz w:val="28"/>
          <w:szCs w:val="28"/>
        </w:rPr>
        <w:t>万元整。</w:t>
      </w:r>
    </w:p>
    <w:p w:rsidR="00D06B5F" w:rsidRDefault="00CF05DC">
      <w:pPr>
        <w:numPr>
          <w:ilvl w:val="0"/>
          <w:numId w:val="2"/>
        </w:numPr>
        <w:rPr>
          <w:sz w:val="28"/>
          <w:szCs w:val="28"/>
        </w:rPr>
      </w:pPr>
      <w:r>
        <w:rPr>
          <w:rFonts w:hint="eastAsia"/>
          <w:sz w:val="28"/>
          <w:szCs w:val="28"/>
        </w:rPr>
        <w:t>技术要求</w:t>
      </w:r>
    </w:p>
    <w:p w:rsidR="00D06B5F" w:rsidRDefault="00CF05DC">
      <w:pPr>
        <w:numPr>
          <w:ilvl w:val="0"/>
          <w:numId w:val="3"/>
        </w:numPr>
        <w:ind w:firstLineChars="200" w:firstLine="560"/>
        <w:rPr>
          <w:rFonts w:ascii="宋体" w:hAnsi="宋体"/>
          <w:sz w:val="28"/>
          <w:szCs w:val="28"/>
        </w:rPr>
      </w:pPr>
      <w:r>
        <w:rPr>
          <w:rFonts w:hint="eastAsia"/>
          <w:sz w:val="28"/>
          <w:szCs w:val="28"/>
        </w:rPr>
        <w:t>柜体：</w:t>
      </w:r>
      <w:r>
        <w:rPr>
          <w:rFonts w:ascii="宋体" w:hAnsi="宋体" w:hint="eastAsia"/>
          <w:sz w:val="28"/>
          <w:szCs w:val="28"/>
        </w:rPr>
        <w:t>柜体尺寸约H1980*W900*D510mm,单层钢板结构，柜体上下左右内衬瓷白PP板材增强柜身耐腐蚀性。PP板材通过CMA及CNAS认证实验室出具的PP材质检测。为保证PP板材的耐高温性能，板材负荷变形温度不低于142℃（ISO 75-1：2013 &amp; ISO75-2:2013 方法B），维卡软化温度不低于94℃（ISO 306：2013 方法 B50）。投标提供PP板材检测报告复印件。</w:t>
      </w:r>
      <w:r>
        <w:rPr>
          <w:rFonts w:ascii="宋体" w:hAnsi="宋体" w:cs="宋体" w:hint="eastAsia"/>
          <w:color w:val="000000"/>
          <w:sz w:val="28"/>
          <w:szCs w:val="28"/>
        </w:rPr>
        <w:t>钢板与PP板材之间填充保温隔热作用的防火材料。柜体采用不低于1.2mm的优质冷轧钢板，柜体底座采用不低于2.0mm的冷轧钢板，内外表面经酸洗磷化处理，表面通过环氧树脂静电喷涂，达到防酸碱及防锈之效果。柜体背部有防火防爆进风口，柜体顶部有出风口，可手动调节关闭进风口和排风口。柜体底部有不低于51mm高度漏液槽（可做黄沙填埋腔），柜底部装有不少于2个手动调节螺杆。</w:t>
      </w:r>
    </w:p>
    <w:p w:rsidR="00D06B5F" w:rsidRDefault="00CF05DC">
      <w:pPr>
        <w:numPr>
          <w:ilvl w:val="0"/>
          <w:numId w:val="3"/>
        </w:numPr>
        <w:ind w:firstLineChars="200" w:firstLine="560"/>
        <w:rPr>
          <w:rFonts w:ascii="宋体" w:hAnsi="宋体"/>
          <w:sz w:val="28"/>
          <w:szCs w:val="28"/>
        </w:rPr>
      </w:pPr>
      <w:r>
        <w:rPr>
          <w:rFonts w:ascii="宋体" w:hAnsi="宋体" w:hint="eastAsia"/>
          <w:sz w:val="28"/>
          <w:szCs w:val="28"/>
        </w:rPr>
        <w:t>层板：每个柜子</w:t>
      </w:r>
      <w:r>
        <w:rPr>
          <w:rFonts w:ascii="宋体" w:hAnsi="宋体" w:cs="宋体" w:hint="eastAsia"/>
          <w:color w:val="000000"/>
          <w:sz w:val="28"/>
          <w:szCs w:val="28"/>
        </w:rPr>
        <w:t>配备三块三层阶梯式非焊接一体成型PP聚丙烯注塑层板，为确保阶梯层板的强度，层板主体部分厚度不低于4.5mm，加强筋的厚度不低于3.5mm，外框的厚度不低于4.5mm。另配三块平层一体成型PP聚丙烯注塑层板，强度要求同三层阶梯式层板。</w:t>
      </w:r>
    </w:p>
    <w:p w:rsidR="00D06B5F" w:rsidRDefault="00CF05DC">
      <w:pPr>
        <w:numPr>
          <w:ilvl w:val="0"/>
          <w:numId w:val="3"/>
        </w:numPr>
        <w:ind w:firstLineChars="200" w:firstLine="560"/>
        <w:rPr>
          <w:rFonts w:ascii="宋体" w:hAnsi="宋体"/>
          <w:sz w:val="28"/>
          <w:szCs w:val="28"/>
        </w:rPr>
      </w:pPr>
      <w:r>
        <w:rPr>
          <w:rFonts w:ascii="宋体" w:hAnsi="宋体" w:hint="eastAsia"/>
          <w:sz w:val="28"/>
          <w:szCs w:val="28"/>
        </w:rPr>
        <w:t>温湿度及TVOC报警装置：选用一线品牌高精度温湿度及</w:t>
      </w:r>
      <w:r>
        <w:rPr>
          <w:rFonts w:ascii="宋体" w:hAnsi="宋体" w:hint="eastAsia"/>
          <w:sz w:val="28"/>
          <w:szCs w:val="28"/>
        </w:rPr>
        <w:lastRenderedPageBreak/>
        <w:t>TVOC探头，精确度高、响应快、稳定性强。可实时对柜内有害气体TVOC浓度及温湿度进行精确监控。</w:t>
      </w:r>
      <w:r>
        <w:rPr>
          <w:rFonts w:ascii="宋体" w:hAnsi="宋体" w:cs="宋体" w:hint="eastAsia"/>
          <w:color w:val="000000"/>
          <w:sz w:val="28"/>
          <w:szCs w:val="28"/>
        </w:rPr>
        <w:t>起控范围：温度启控0~100℃（用户设定），湿度0-100%RH，VOC浓度0-100PPM，用户可根据要求自行设定。</w:t>
      </w:r>
    </w:p>
    <w:p w:rsidR="00D06B5F" w:rsidRDefault="00CF05DC">
      <w:pPr>
        <w:numPr>
          <w:ilvl w:val="0"/>
          <w:numId w:val="3"/>
        </w:numPr>
        <w:ind w:firstLineChars="200" w:firstLine="560"/>
        <w:rPr>
          <w:rFonts w:ascii="宋体" w:hAnsi="宋体" w:cs="宋体"/>
          <w:color w:val="000000"/>
          <w:sz w:val="28"/>
          <w:szCs w:val="28"/>
        </w:rPr>
      </w:pPr>
      <w:r>
        <w:rPr>
          <w:rFonts w:ascii="宋体" w:hAnsi="宋体" w:cs="宋体" w:hint="eastAsia"/>
          <w:color w:val="000000"/>
          <w:sz w:val="28"/>
          <w:szCs w:val="28"/>
        </w:rPr>
        <w:t>防静电功能：配备符合国家接地相关标准的防静电接地装置，用导线夹将常备接地与安全柜可靠连接，将静电荷导入大地，防止雷电及静电火花造成火灾和爆炸事故。</w:t>
      </w:r>
    </w:p>
    <w:p w:rsidR="00D06B5F" w:rsidRDefault="00CF05DC">
      <w:pPr>
        <w:numPr>
          <w:ilvl w:val="0"/>
          <w:numId w:val="3"/>
        </w:numPr>
        <w:ind w:firstLineChars="200" w:firstLine="560"/>
        <w:rPr>
          <w:rFonts w:ascii="宋体" w:hAnsi="宋体" w:cs="宋体"/>
          <w:color w:val="000000"/>
          <w:sz w:val="28"/>
          <w:szCs w:val="28"/>
        </w:rPr>
      </w:pPr>
      <w:r>
        <w:rPr>
          <w:rFonts w:ascii="宋体" w:hAnsi="宋体" w:cs="宋体" w:hint="eastAsia"/>
          <w:color w:val="000000"/>
          <w:sz w:val="28"/>
          <w:szCs w:val="28"/>
        </w:rPr>
        <w:t>智能化管理：可与中心现有智能化管理系统对接，实现其中试剂管理系统的所有功能。包括但不限于：射频识别、人员识别、权限识别、触控交互等。</w:t>
      </w:r>
    </w:p>
    <w:p w:rsidR="00D06B5F" w:rsidRDefault="00CF05DC">
      <w:pPr>
        <w:numPr>
          <w:ilvl w:val="0"/>
          <w:numId w:val="3"/>
        </w:numPr>
        <w:ind w:firstLineChars="200" w:firstLine="560"/>
        <w:rPr>
          <w:rFonts w:ascii="宋体" w:hAnsi="宋体" w:cs="宋体"/>
          <w:color w:val="000000"/>
          <w:sz w:val="28"/>
          <w:szCs w:val="28"/>
        </w:rPr>
      </w:pPr>
      <w:r>
        <w:rPr>
          <w:rFonts w:ascii="宋体" w:hAnsi="宋体" w:cs="宋体" w:hint="eastAsia"/>
          <w:color w:val="000000"/>
          <w:sz w:val="28"/>
          <w:szCs w:val="28"/>
        </w:rPr>
        <w:t>每柜另配1000个配套的射频标签。</w:t>
      </w:r>
    </w:p>
    <w:p w:rsidR="00D06B5F" w:rsidRDefault="00CF05DC">
      <w:pPr>
        <w:numPr>
          <w:ilvl w:val="0"/>
          <w:numId w:val="2"/>
        </w:numPr>
        <w:rPr>
          <w:rFonts w:ascii="宋体" w:hAnsi="宋体" w:cs="宋体"/>
          <w:color w:val="000000"/>
          <w:sz w:val="28"/>
          <w:szCs w:val="28"/>
        </w:rPr>
      </w:pPr>
      <w:r>
        <w:rPr>
          <w:rFonts w:ascii="宋体" w:hAnsi="宋体" w:cs="宋体" w:hint="eastAsia"/>
          <w:color w:val="000000"/>
          <w:sz w:val="28"/>
          <w:szCs w:val="28"/>
        </w:rPr>
        <w:t>售后服务</w:t>
      </w:r>
    </w:p>
    <w:p w:rsidR="00D06B5F" w:rsidRDefault="00CF05DC">
      <w:pPr>
        <w:numPr>
          <w:ilvl w:val="0"/>
          <w:numId w:val="4"/>
        </w:numPr>
        <w:ind w:firstLineChars="200" w:firstLine="560"/>
        <w:rPr>
          <w:rFonts w:ascii="宋体" w:hAnsi="宋体" w:cs="宋体"/>
          <w:color w:val="000000"/>
          <w:sz w:val="28"/>
          <w:szCs w:val="28"/>
        </w:rPr>
      </w:pPr>
      <w:r>
        <w:rPr>
          <w:rFonts w:ascii="宋体" w:hAnsi="宋体" w:cs="宋体" w:hint="eastAsia"/>
          <w:color w:val="000000"/>
          <w:sz w:val="28"/>
          <w:szCs w:val="28"/>
        </w:rPr>
        <w:t xml:space="preserve">投标方需要对所投标货物提供2年免费的维修保养服务。投标方需要针对投标货物的建立维保服务资料档案，并提交完整的维保服务方案。 </w:t>
      </w:r>
    </w:p>
    <w:p w:rsidR="00D06B5F" w:rsidRDefault="00CF05DC">
      <w:pPr>
        <w:numPr>
          <w:ilvl w:val="0"/>
          <w:numId w:val="4"/>
        </w:numPr>
        <w:ind w:firstLineChars="200" w:firstLine="560"/>
        <w:rPr>
          <w:rFonts w:ascii="宋体" w:hAnsi="宋体" w:cs="宋体"/>
          <w:color w:val="000000"/>
          <w:sz w:val="28"/>
          <w:szCs w:val="28"/>
        </w:rPr>
      </w:pPr>
      <w:r>
        <w:rPr>
          <w:rFonts w:ascii="宋体" w:hAnsi="宋体" w:cs="宋体" w:hint="eastAsia"/>
          <w:color w:val="000000"/>
          <w:sz w:val="28"/>
          <w:szCs w:val="28"/>
        </w:rPr>
        <w:t>根据实际情况，进行物业培训，内容主要是相关设备的常规保养以及针对应急情况的故障排除。</w:t>
      </w:r>
    </w:p>
    <w:p w:rsidR="00D06B5F" w:rsidRDefault="00CF05DC">
      <w:pPr>
        <w:numPr>
          <w:ilvl w:val="0"/>
          <w:numId w:val="4"/>
        </w:numPr>
        <w:ind w:firstLineChars="200" w:firstLine="560"/>
        <w:rPr>
          <w:rFonts w:ascii="宋体" w:hAnsi="宋体" w:cs="宋体"/>
          <w:color w:val="000000"/>
          <w:sz w:val="28"/>
          <w:szCs w:val="28"/>
        </w:rPr>
      </w:pPr>
      <w:r>
        <w:rPr>
          <w:rFonts w:ascii="宋体" w:hAnsi="宋体" w:cs="宋体" w:hint="eastAsia"/>
          <w:color w:val="000000"/>
          <w:sz w:val="28"/>
          <w:szCs w:val="28"/>
        </w:rPr>
        <w:t>投标方向甲方提供免费的电话咨询。</w:t>
      </w:r>
    </w:p>
    <w:p w:rsidR="00D06B5F" w:rsidRDefault="00CF05DC">
      <w:pPr>
        <w:numPr>
          <w:ilvl w:val="0"/>
          <w:numId w:val="4"/>
        </w:numPr>
        <w:ind w:firstLineChars="200" w:firstLine="560"/>
        <w:rPr>
          <w:rFonts w:ascii="宋体" w:hAnsi="宋体" w:cs="宋体" w:hint="eastAsia"/>
          <w:color w:val="000000"/>
          <w:sz w:val="28"/>
          <w:szCs w:val="28"/>
        </w:rPr>
      </w:pPr>
      <w:r>
        <w:rPr>
          <w:rFonts w:ascii="宋体" w:hAnsi="宋体" w:cs="宋体" w:hint="eastAsia"/>
          <w:color w:val="000000"/>
          <w:sz w:val="28"/>
          <w:szCs w:val="28"/>
        </w:rPr>
        <w:t>投标方需要根据甲方的要求可不断提高，改进系统功能，扩展系统，使系统充分发挥使用效率，为业主在提高管理服务及节能方面得到效益。如现有系统无法满足用户要求，则提供优化的整改、升级方案，供用户决策参考。</w:t>
      </w:r>
    </w:p>
    <w:p w:rsidR="00085534" w:rsidRDefault="00085534" w:rsidP="00085534">
      <w:pPr>
        <w:tabs>
          <w:tab w:val="left" w:pos="312"/>
        </w:tabs>
        <w:rPr>
          <w:rFonts w:ascii="宋体" w:hAnsi="宋体" w:cs="宋体" w:hint="eastAsia"/>
          <w:color w:val="000000"/>
          <w:sz w:val="28"/>
          <w:szCs w:val="28"/>
        </w:rPr>
      </w:pPr>
      <w:r>
        <w:rPr>
          <w:rFonts w:ascii="宋体" w:hAnsi="宋体" w:cs="宋体" w:hint="eastAsia"/>
          <w:color w:val="000000"/>
          <w:sz w:val="28"/>
          <w:szCs w:val="28"/>
        </w:rPr>
        <w:lastRenderedPageBreak/>
        <w:t>四、评审标准</w:t>
      </w:r>
    </w:p>
    <w:p w:rsidR="00085534" w:rsidRDefault="00085534" w:rsidP="00085534"/>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593"/>
        <w:gridCol w:w="1484"/>
        <w:gridCol w:w="614"/>
        <w:gridCol w:w="7125"/>
      </w:tblGrid>
      <w:tr w:rsidR="00085534" w:rsidTr="00CF7E18">
        <w:trPr>
          <w:trHeight w:val="406"/>
          <w:jc w:val="center"/>
        </w:trPr>
        <w:tc>
          <w:tcPr>
            <w:tcW w:w="702" w:type="dxa"/>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spacing w:val="-10"/>
                <w:szCs w:val="21"/>
              </w:rPr>
              <w:t>评标</w:t>
            </w:r>
          </w:p>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spacing w:val="-10"/>
                <w:szCs w:val="21"/>
              </w:rPr>
              <w:t>项目</w:t>
            </w:r>
          </w:p>
        </w:tc>
        <w:tc>
          <w:tcPr>
            <w:tcW w:w="593" w:type="dxa"/>
            <w:noWrap/>
            <w:vAlign w:val="center"/>
          </w:tcPr>
          <w:p w:rsidR="00085534" w:rsidRDefault="00085534" w:rsidP="00CF7E18">
            <w:pPr>
              <w:spacing w:line="360" w:lineRule="auto"/>
              <w:ind w:leftChars="-50" w:left="-105" w:rightChars="-50" w:right="-105"/>
              <w:jc w:val="center"/>
              <w:rPr>
                <w:rFonts w:ascii="宋体" w:hAnsi="宋体"/>
                <w:spacing w:val="-20"/>
                <w:szCs w:val="21"/>
              </w:rPr>
            </w:pPr>
            <w:r>
              <w:rPr>
                <w:rFonts w:ascii="宋体" w:hAnsi="宋体"/>
                <w:spacing w:val="-20"/>
                <w:szCs w:val="21"/>
              </w:rPr>
              <w:t>分值</w:t>
            </w:r>
          </w:p>
        </w:tc>
        <w:tc>
          <w:tcPr>
            <w:tcW w:w="1484" w:type="dxa"/>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spacing w:val="-10"/>
                <w:szCs w:val="21"/>
              </w:rPr>
              <w:t>评标分项</w:t>
            </w:r>
          </w:p>
        </w:tc>
        <w:tc>
          <w:tcPr>
            <w:tcW w:w="614" w:type="dxa"/>
            <w:noWrap/>
            <w:vAlign w:val="center"/>
          </w:tcPr>
          <w:p w:rsidR="00085534" w:rsidRDefault="00085534" w:rsidP="00CF7E18">
            <w:pPr>
              <w:spacing w:line="360" w:lineRule="auto"/>
              <w:ind w:leftChars="-50" w:left="-105" w:rightChars="-50" w:right="-105"/>
              <w:jc w:val="center"/>
              <w:rPr>
                <w:rFonts w:ascii="宋体" w:hAnsi="宋体"/>
                <w:spacing w:val="-20"/>
                <w:szCs w:val="21"/>
              </w:rPr>
            </w:pPr>
            <w:r>
              <w:rPr>
                <w:rFonts w:ascii="宋体" w:hAnsi="宋体"/>
                <w:spacing w:val="-20"/>
                <w:szCs w:val="21"/>
              </w:rPr>
              <w:t>分值</w:t>
            </w:r>
          </w:p>
        </w:tc>
        <w:tc>
          <w:tcPr>
            <w:tcW w:w="7125" w:type="dxa"/>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spacing w:val="-10"/>
                <w:szCs w:val="21"/>
              </w:rPr>
              <w:t>子项目及分值</w:t>
            </w:r>
          </w:p>
        </w:tc>
      </w:tr>
      <w:tr w:rsidR="00085534" w:rsidTr="00CF7E18">
        <w:trPr>
          <w:trHeight w:val="917"/>
          <w:jc w:val="center"/>
        </w:trPr>
        <w:tc>
          <w:tcPr>
            <w:tcW w:w="702" w:type="dxa"/>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hint="eastAsia"/>
                <w:spacing w:val="-10"/>
                <w:szCs w:val="21"/>
              </w:rPr>
              <w:t>报价</w:t>
            </w:r>
          </w:p>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hint="eastAsia"/>
                <w:spacing w:val="-10"/>
                <w:szCs w:val="21"/>
              </w:rPr>
              <w:t>得分</w:t>
            </w:r>
          </w:p>
        </w:tc>
        <w:tc>
          <w:tcPr>
            <w:tcW w:w="593" w:type="dxa"/>
            <w:noWrap/>
            <w:vAlign w:val="center"/>
          </w:tcPr>
          <w:p w:rsidR="00085534" w:rsidRDefault="00085534" w:rsidP="00CF7E18">
            <w:pPr>
              <w:spacing w:line="360" w:lineRule="auto"/>
              <w:ind w:leftChars="-50" w:left="-105" w:rightChars="-50" w:right="-105"/>
              <w:jc w:val="center"/>
              <w:rPr>
                <w:rFonts w:ascii="宋体" w:hAnsi="宋体"/>
                <w:spacing w:val="-20"/>
                <w:szCs w:val="21"/>
              </w:rPr>
            </w:pPr>
            <w:r>
              <w:rPr>
                <w:rFonts w:ascii="宋体" w:hAnsi="宋体" w:hint="eastAsia"/>
                <w:spacing w:val="-20"/>
                <w:szCs w:val="21"/>
              </w:rPr>
              <w:t>30分</w:t>
            </w:r>
          </w:p>
        </w:tc>
        <w:tc>
          <w:tcPr>
            <w:tcW w:w="1484" w:type="dxa"/>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hint="eastAsia"/>
                <w:spacing w:val="-10"/>
                <w:szCs w:val="21"/>
              </w:rPr>
              <w:t>/</w:t>
            </w:r>
          </w:p>
        </w:tc>
        <w:tc>
          <w:tcPr>
            <w:tcW w:w="614" w:type="dxa"/>
            <w:noWrap/>
            <w:vAlign w:val="center"/>
          </w:tcPr>
          <w:p w:rsidR="00085534" w:rsidRDefault="00085534" w:rsidP="00CF7E18">
            <w:pPr>
              <w:spacing w:line="360" w:lineRule="auto"/>
              <w:ind w:leftChars="-50" w:left="-105" w:rightChars="-50" w:right="-105"/>
              <w:jc w:val="center"/>
              <w:rPr>
                <w:rFonts w:ascii="宋体" w:hAnsi="宋体"/>
                <w:spacing w:val="-20"/>
                <w:szCs w:val="21"/>
              </w:rPr>
            </w:pPr>
            <w:r>
              <w:rPr>
                <w:rFonts w:ascii="宋体" w:hAnsi="宋体" w:hint="eastAsia"/>
                <w:spacing w:val="-20"/>
                <w:szCs w:val="21"/>
              </w:rPr>
              <w:t>30</w:t>
            </w:r>
          </w:p>
        </w:tc>
        <w:tc>
          <w:tcPr>
            <w:tcW w:w="7125" w:type="dxa"/>
            <w:noWrap/>
            <w:vAlign w:val="center"/>
          </w:tcPr>
          <w:p w:rsidR="00085534" w:rsidRDefault="00085534" w:rsidP="00CF7E18">
            <w:pPr>
              <w:spacing w:line="360" w:lineRule="auto"/>
              <w:ind w:leftChars="-50" w:left="-105" w:rightChars="-50" w:right="-105"/>
              <w:rPr>
                <w:rFonts w:ascii="宋体" w:hAnsi="宋体"/>
                <w:b/>
                <w:szCs w:val="21"/>
              </w:rPr>
            </w:pPr>
            <w:r>
              <w:rPr>
                <w:rFonts w:ascii="宋体" w:hAnsi="宋体" w:hint="eastAsia"/>
                <w:spacing w:val="-10"/>
                <w:szCs w:val="21"/>
              </w:rPr>
              <w:t>价格分统一采用低价优先法计算，即满足招标文件要求且投标价格最低的有效投标报价为评标基准价，其价格分为满分。</w:t>
            </w:r>
            <w:r>
              <w:rPr>
                <w:rFonts w:ascii="宋体" w:hAnsi="宋体" w:hint="eastAsia"/>
                <w:szCs w:val="21"/>
              </w:rPr>
              <w:t>其它投标人的价格分统一按照下列公式计算：</w:t>
            </w:r>
            <w:r>
              <w:rPr>
                <w:rFonts w:ascii="宋体" w:hAnsi="宋体" w:hint="eastAsia"/>
                <w:bCs/>
                <w:szCs w:val="21"/>
              </w:rPr>
              <w:t>投标报价得分=（评标基准价/投标报价）*价格权值</w:t>
            </w:r>
          </w:p>
        </w:tc>
      </w:tr>
      <w:tr w:rsidR="00085534" w:rsidTr="00CF7E18">
        <w:trPr>
          <w:trHeight w:val="134"/>
          <w:jc w:val="center"/>
        </w:trPr>
        <w:tc>
          <w:tcPr>
            <w:tcW w:w="702" w:type="dxa"/>
            <w:vMerge w:val="restart"/>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spacing w:val="-10"/>
                <w:szCs w:val="21"/>
              </w:rPr>
              <w:t>商务</w:t>
            </w:r>
          </w:p>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spacing w:val="-10"/>
                <w:szCs w:val="21"/>
              </w:rPr>
              <w:t>得分</w:t>
            </w:r>
          </w:p>
        </w:tc>
        <w:tc>
          <w:tcPr>
            <w:tcW w:w="593" w:type="dxa"/>
            <w:vMerge w:val="restart"/>
            <w:noWrap/>
            <w:vAlign w:val="center"/>
          </w:tcPr>
          <w:p w:rsidR="00085534" w:rsidRDefault="00085534" w:rsidP="00CF7E18">
            <w:pPr>
              <w:spacing w:line="360" w:lineRule="auto"/>
              <w:ind w:leftChars="-50" w:left="-105" w:rightChars="-50" w:right="-105"/>
              <w:jc w:val="center"/>
              <w:rPr>
                <w:rFonts w:ascii="宋体" w:hAnsi="宋体"/>
                <w:spacing w:val="-20"/>
                <w:szCs w:val="21"/>
              </w:rPr>
            </w:pPr>
            <w:r>
              <w:rPr>
                <w:rFonts w:ascii="宋体" w:hAnsi="宋体" w:hint="eastAsia"/>
                <w:spacing w:val="-18"/>
                <w:szCs w:val="21"/>
              </w:rPr>
              <w:t>10</w:t>
            </w:r>
            <w:r>
              <w:rPr>
                <w:rFonts w:ascii="宋体" w:hAnsi="宋体"/>
                <w:spacing w:val="-20"/>
                <w:szCs w:val="21"/>
              </w:rPr>
              <w:t>分</w:t>
            </w:r>
          </w:p>
        </w:tc>
        <w:tc>
          <w:tcPr>
            <w:tcW w:w="1484" w:type="dxa"/>
            <w:tcBorders>
              <w:bottom w:val="single" w:sz="4" w:space="0" w:color="auto"/>
            </w:tcBorders>
            <w:noWrap/>
            <w:vAlign w:val="center"/>
          </w:tcPr>
          <w:p w:rsidR="00085534" w:rsidRDefault="00085534" w:rsidP="00CF7E18">
            <w:pPr>
              <w:spacing w:line="360" w:lineRule="auto"/>
              <w:ind w:leftChars="-50" w:left="-105" w:rightChars="-50" w:right="-105"/>
              <w:jc w:val="center"/>
              <w:rPr>
                <w:rFonts w:ascii="宋体" w:hAnsi="宋体" w:cs="宋体"/>
                <w:szCs w:val="21"/>
              </w:rPr>
            </w:pPr>
            <w:r>
              <w:rPr>
                <w:rFonts w:ascii="宋体" w:hAnsi="宋体" w:cs="宋体"/>
                <w:szCs w:val="21"/>
              </w:rPr>
              <w:t>企业财务状况</w:t>
            </w:r>
          </w:p>
        </w:tc>
        <w:tc>
          <w:tcPr>
            <w:tcW w:w="614" w:type="dxa"/>
            <w:noWrap/>
            <w:vAlign w:val="center"/>
          </w:tcPr>
          <w:p w:rsidR="00085534" w:rsidRDefault="00085534" w:rsidP="00CF7E18">
            <w:pPr>
              <w:spacing w:line="360" w:lineRule="auto"/>
              <w:ind w:leftChars="-50" w:left="-105" w:rightChars="-50" w:right="-105"/>
              <w:jc w:val="center"/>
              <w:rPr>
                <w:rFonts w:ascii="宋体" w:hAnsi="宋体" w:cs="宋体"/>
                <w:szCs w:val="21"/>
              </w:rPr>
            </w:pPr>
            <w:r>
              <w:rPr>
                <w:rFonts w:ascii="宋体" w:hAnsi="宋体" w:cs="宋体" w:hint="eastAsia"/>
                <w:szCs w:val="21"/>
              </w:rPr>
              <w:t>2</w:t>
            </w:r>
          </w:p>
        </w:tc>
        <w:tc>
          <w:tcPr>
            <w:tcW w:w="7125" w:type="dxa"/>
            <w:noWrap/>
            <w:vAlign w:val="center"/>
          </w:tcPr>
          <w:p w:rsidR="00085534" w:rsidRDefault="00085534" w:rsidP="00CF7E18">
            <w:pPr>
              <w:spacing w:line="360" w:lineRule="auto"/>
              <w:ind w:leftChars="-50" w:left="-105" w:rightChars="-50" w:right="-105"/>
              <w:rPr>
                <w:rFonts w:ascii="宋体" w:hAnsi="宋体" w:cs="宋体"/>
                <w:szCs w:val="21"/>
              </w:rPr>
            </w:pPr>
            <w:r>
              <w:rPr>
                <w:rFonts w:ascii="宋体" w:hAnsi="宋体" w:cs="宋体" w:hint="eastAsia"/>
                <w:szCs w:val="21"/>
              </w:rPr>
              <w:t>投标人提供近两年由合法会计师事务出具的审计报告及企业财务报表，综合评比最优得2分，其他0-1分，未提供不得分。</w:t>
            </w:r>
          </w:p>
        </w:tc>
      </w:tr>
      <w:tr w:rsidR="00085534" w:rsidTr="00CF7E18">
        <w:trPr>
          <w:trHeight w:val="352"/>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对招标文件的响应程度</w:t>
            </w:r>
          </w:p>
        </w:tc>
        <w:tc>
          <w:tcPr>
            <w:tcW w:w="61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2</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投标文件编制完整，逐页有连续页码、有详细目录、目录与有关材料装订顺序对应清晰、查阅方便，对其规范性、完整性进行比较，得0-2分，最高为2分。</w:t>
            </w:r>
          </w:p>
        </w:tc>
      </w:tr>
      <w:tr w:rsidR="00085534" w:rsidTr="00CF7E18">
        <w:trPr>
          <w:trHeight w:val="352"/>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企业信誉</w:t>
            </w:r>
          </w:p>
        </w:tc>
        <w:tc>
          <w:tcPr>
            <w:tcW w:w="61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2</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根据投标人信誉、客户评价及投标产品市场信誉度相对优劣的情况给分提供证明材料，好2</w:t>
            </w:r>
            <w:r>
              <w:rPr>
                <w:rFonts w:ascii="宋体" w:hAnsi="宋体" w:cs="宋体"/>
                <w:szCs w:val="21"/>
              </w:rPr>
              <w:t>-</w:t>
            </w:r>
            <w:r>
              <w:rPr>
                <w:rFonts w:ascii="宋体" w:hAnsi="宋体" w:cs="宋体" w:hint="eastAsia"/>
                <w:szCs w:val="21"/>
              </w:rPr>
              <w:t>1分，一般1</w:t>
            </w:r>
            <w:r>
              <w:rPr>
                <w:rFonts w:ascii="宋体" w:hAnsi="宋体" w:cs="宋体"/>
                <w:szCs w:val="21"/>
              </w:rPr>
              <w:t>-0</w:t>
            </w:r>
            <w:r>
              <w:rPr>
                <w:rFonts w:ascii="宋体" w:hAnsi="宋体" w:cs="宋体" w:hint="eastAsia"/>
                <w:szCs w:val="21"/>
              </w:rPr>
              <w:t>分。</w:t>
            </w:r>
          </w:p>
        </w:tc>
      </w:tr>
      <w:tr w:rsidR="00085534" w:rsidTr="00CF7E18">
        <w:trPr>
          <w:trHeight w:val="352"/>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企业业绩</w:t>
            </w:r>
          </w:p>
        </w:tc>
        <w:tc>
          <w:tcPr>
            <w:tcW w:w="61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2</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提供投标人的类似业绩证明材料（需提供包含合同首页、标的及金额所在页、供货合同签字盖章页的扫描（或复印）件），提供1份得1分，提供2份及以上得2分；未提供不得分。</w:t>
            </w:r>
          </w:p>
        </w:tc>
      </w:tr>
      <w:tr w:rsidR="00085534" w:rsidTr="00CF7E18">
        <w:trPr>
          <w:trHeight w:val="352"/>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质保期</w:t>
            </w:r>
          </w:p>
        </w:tc>
        <w:tc>
          <w:tcPr>
            <w:tcW w:w="614" w:type="dxa"/>
            <w:noWrap/>
            <w:vAlign w:val="center"/>
          </w:tcPr>
          <w:p w:rsidR="00085534" w:rsidRDefault="00085534" w:rsidP="00CF7E18">
            <w:pPr>
              <w:spacing w:line="360" w:lineRule="auto"/>
              <w:jc w:val="center"/>
              <w:rPr>
                <w:rFonts w:ascii="宋体" w:hAnsi="宋体" w:cs="宋体"/>
                <w:szCs w:val="21"/>
              </w:rPr>
            </w:pPr>
            <w:r>
              <w:rPr>
                <w:rFonts w:ascii="宋体" w:hAnsi="宋体" w:cs="宋体" w:hint="eastAsia"/>
                <w:szCs w:val="21"/>
              </w:rPr>
              <w:t>2</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投标人在满足本次采购产品质保期要求的基础上，每增加一年年质保的得1分，最多得2分。</w:t>
            </w:r>
          </w:p>
        </w:tc>
      </w:tr>
      <w:tr w:rsidR="00085534" w:rsidTr="00CF7E18">
        <w:trPr>
          <w:trHeight w:val="134"/>
          <w:jc w:val="center"/>
        </w:trPr>
        <w:tc>
          <w:tcPr>
            <w:tcW w:w="702" w:type="dxa"/>
            <w:vMerge w:val="restart"/>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hint="eastAsia"/>
                <w:spacing w:val="-10"/>
                <w:szCs w:val="21"/>
              </w:rPr>
              <w:t xml:space="preserve">技术 </w:t>
            </w:r>
          </w:p>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hint="eastAsia"/>
                <w:spacing w:val="-10"/>
                <w:szCs w:val="21"/>
              </w:rPr>
              <w:t>得分</w:t>
            </w:r>
          </w:p>
        </w:tc>
        <w:tc>
          <w:tcPr>
            <w:tcW w:w="593" w:type="dxa"/>
            <w:vMerge w:val="restart"/>
            <w:noWrap/>
            <w:vAlign w:val="center"/>
          </w:tcPr>
          <w:p w:rsidR="00085534" w:rsidRDefault="00085534" w:rsidP="00CF7E18">
            <w:pPr>
              <w:spacing w:line="360" w:lineRule="auto"/>
              <w:ind w:leftChars="-50" w:left="-105" w:rightChars="-50" w:right="-105"/>
              <w:jc w:val="center"/>
              <w:rPr>
                <w:rFonts w:ascii="宋体" w:hAnsi="宋体"/>
                <w:spacing w:val="-20"/>
                <w:szCs w:val="21"/>
              </w:rPr>
            </w:pPr>
            <w:r>
              <w:rPr>
                <w:rFonts w:ascii="宋体" w:hAnsi="宋体" w:hint="eastAsia"/>
                <w:spacing w:val="-20"/>
                <w:szCs w:val="21"/>
              </w:rPr>
              <w:t>60分</w:t>
            </w:r>
          </w:p>
        </w:tc>
        <w:tc>
          <w:tcPr>
            <w:tcW w:w="1484" w:type="dxa"/>
            <w:noWrap/>
            <w:vAlign w:val="center"/>
          </w:tcPr>
          <w:p w:rsidR="00085534" w:rsidRDefault="00085534" w:rsidP="00CF7E18">
            <w:pPr>
              <w:spacing w:line="360" w:lineRule="auto"/>
              <w:jc w:val="center"/>
              <w:rPr>
                <w:rFonts w:ascii="宋体" w:hAnsi="宋体"/>
                <w:spacing w:val="-10"/>
                <w:szCs w:val="21"/>
                <w:lang w:val="en-GB"/>
              </w:rPr>
            </w:pPr>
            <w:r>
              <w:rPr>
                <w:rFonts w:ascii="宋体" w:hAnsi="宋体" w:cs="宋体" w:hint="eastAsia"/>
                <w:szCs w:val="21"/>
              </w:rPr>
              <w:t>投标产品技术响应、主要参数和其他重要性能指标情况</w:t>
            </w:r>
          </w:p>
        </w:tc>
        <w:tc>
          <w:tcPr>
            <w:tcW w:w="614" w:type="dxa"/>
            <w:noWrap/>
            <w:vAlign w:val="center"/>
          </w:tcPr>
          <w:p w:rsidR="00085534" w:rsidRDefault="00085534" w:rsidP="00CF7E18">
            <w:pPr>
              <w:spacing w:line="360" w:lineRule="auto"/>
              <w:jc w:val="center"/>
              <w:rPr>
                <w:rFonts w:ascii="宋体" w:hAnsi="宋体"/>
                <w:spacing w:val="-10"/>
                <w:szCs w:val="21"/>
                <w:lang w:val="en-GB"/>
              </w:rPr>
            </w:pPr>
            <w:r>
              <w:rPr>
                <w:rFonts w:ascii="宋体" w:hAnsi="宋体" w:cs="宋体" w:hint="eastAsia"/>
                <w:szCs w:val="21"/>
              </w:rPr>
              <w:t>35</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根据所投产品的性能、技术参数、质量、成熟性等综合比较，满足招标文件要求和使用要求的得35分，不符合招标文件技术要求的★项每一项减3分，非★项每一项减1分，扣完为止。</w:t>
            </w:r>
          </w:p>
          <w:p w:rsidR="00085534" w:rsidRDefault="00085534" w:rsidP="00CF7E18">
            <w:pPr>
              <w:spacing w:line="360" w:lineRule="auto"/>
            </w:pPr>
            <w:r>
              <w:rPr>
                <w:rFonts w:ascii="宋体" w:hAnsi="宋体" w:cs="宋体" w:hint="eastAsia"/>
                <w:szCs w:val="21"/>
              </w:rPr>
              <w:t>备注：投标人对所投产品的技术参数，必须提供核对、查验的官方网址、厂家电话。在专家评审过程中，如对该产品技术参数有异议，会进行现场查验或上网查验。对虚假应标情形，予以废标处理。</w:t>
            </w:r>
          </w:p>
        </w:tc>
      </w:tr>
      <w:tr w:rsidR="00085534" w:rsidTr="00CF7E18">
        <w:trPr>
          <w:trHeight w:val="134"/>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noWrap/>
            <w:vAlign w:val="center"/>
          </w:tcPr>
          <w:p w:rsidR="00085534" w:rsidRDefault="00085534" w:rsidP="00CF7E18">
            <w:pPr>
              <w:autoSpaceDE w:val="0"/>
              <w:autoSpaceDN w:val="0"/>
              <w:spacing w:line="360" w:lineRule="auto"/>
              <w:jc w:val="center"/>
              <w:rPr>
                <w:rFonts w:ascii="宋体" w:hAnsi="宋体" w:cs="宋体"/>
                <w:szCs w:val="21"/>
              </w:rPr>
            </w:pPr>
            <w:r>
              <w:rPr>
                <w:rFonts w:ascii="宋体" w:hAnsi="宋体" w:cs="宋体" w:hint="eastAsia"/>
                <w:szCs w:val="21"/>
              </w:rPr>
              <w:t>检验、调试与验收方案</w:t>
            </w:r>
          </w:p>
        </w:tc>
        <w:tc>
          <w:tcPr>
            <w:tcW w:w="614" w:type="dxa"/>
            <w:noWrap/>
            <w:vAlign w:val="center"/>
          </w:tcPr>
          <w:p w:rsidR="00085534" w:rsidRDefault="00085534" w:rsidP="00CF7E18">
            <w:pPr>
              <w:autoSpaceDE w:val="0"/>
              <w:autoSpaceDN w:val="0"/>
              <w:spacing w:line="360" w:lineRule="auto"/>
              <w:jc w:val="center"/>
              <w:rPr>
                <w:rFonts w:ascii="宋体" w:hAnsi="宋体" w:cs="宋体"/>
                <w:szCs w:val="21"/>
              </w:rPr>
            </w:pPr>
            <w:r>
              <w:rPr>
                <w:rFonts w:ascii="宋体" w:hAnsi="宋体" w:cs="宋体" w:hint="eastAsia"/>
                <w:szCs w:val="21"/>
              </w:rPr>
              <w:t>5</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根据各投标人所提供检验、调试与验收建议书的合理性、完整性、是否符合有关行业规定等情况酌情评分</w:t>
            </w:r>
            <w:r>
              <w:rPr>
                <w:rFonts w:ascii="宋体" w:hAnsi="宋体" w:cs="宋体"/>
                <w:szCs w:val="21"/>
              </w:rPr>
              <w:t>,</w:t>
            </w:r>
            <w:r>
              <w:rPr>
                <w:rFonts w:ascii="宋体" w:hAnsi="宋体" w:cs="宋体" w:hint="eastAsia"/>
                <w:szCs w:val="21"/>
              </w:rPr>
              <w:t>好5-4分，较好3-2分，一般1-0分。</w:t>
            </w:r>
          </w:p>
        </w:tc>
      </w:tr>
      <w:tr w:rsidR="00085534" w:rsidTr="00CF7E18">
        <w:trPr>
          <w:trHeight w:val="134"/>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vMerge w:val="restart"/>
            <w:noWrap/>
            <w:vAlign w:val="center"/>
          </w:tcPr>
          <w:p w:rsidR="00085534" w:rsidRDefault="00085534" w:rsidP="00CF7E18">
            <w:pPr>
              <w:autoSpaceDE w:val="0"/>
              <w:autoSpaceDN w:val="0"/>
              <w:spacing w:line="360" w:lineRule="auto"/>
              <w:jc w:val="center"/>
              <w:rPr>
                <w:rFonts w:ascii="宋体" w:hAnsi="宋体" w:cs="宋体"/>
                <w:szCs w:val="21"/>
              </w:rPr>
            </w:pPr>
            <w:r>
              <w:rPr>
                <w:rFonts w:ascii="宋体" w:hAnsi="宋体" w:cs="宋体" w:hint="eastAsia"/>
                <w:szCs w:val="21"/>
              </w:rPr>
              <w:t>投标产品的性能、可靠性、</w:t>
            </w:r>
            <w:r>
              <w:rPr>
                <w:rFonts w:ascii="宋体" w:hAnsi="宋体" w:cs="宋体" w:hint="eastAsia"/>
                <w:szCs w:val="21"/>
              </w:rPr>
              <w:lastRenderedPageBreak/>
              <w:t>安全性、稳定性等综合比较</w:t>
            </w:r>
          </w:p>
        </w:tc>
        <w:tc>
          <w:tcPr>
            <w:tcW w:w="614" w:type="dxa"/>
            <w:noWrap/>
            <w:vAlign w:val="center"/>
          </w:tcPr>
          <w:p w:rsidR="00085534" w:rsidRDefault="00085534" w:rsidP="00CF7E18">
            <w:pPr>
              <w:autoSpaceDE w:val="0"/>
              <w:autoSpaceDN w:val="0"/>
              <w:spacing w:line="360" w:lineRule="auto"/>
              <w:jc w:val="center"/>
              <w:rPr>
                <w:rFonts w:ascii="宋体" w:hAnsi="宋体" w:cs="宋体"/>
                <w:szCs w:val="21"/>
              </w:rPr>
            </w:pPr>
            <w:r>
              <w:rPr>
                <w:rFonts w:ascii="宋体" w:hAnsi="宋体" w:cs="宋体" w:hint="eastAsia"/>
                <w:szCs w:val="21"/>
              </w:rPr>
              <w:lastRenderedPageBreak/>
              <w:t>4</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根据产品的技术性能、生产工艺、先进性、市场知名度、质量等因素给分。在各投标人所报产品满足招标文件要求的基础上，综合考评产品的性能因素</w:t>
            </w:r>
            <w:r>
              <w:rPr>
                <w:rFonts w:ascii="宋体" w:hAnsi="宋体" w:cs="宋体" w:hint="eastAsia"/>
                <w:szCs w:val="21"/>
              </w:rPr>
              <w:lastRenderedPageBreak/>
              <w:t>进行打分。分为三个评价等级：好3分，较好2分，一般0</w:t>
            </w:r>
            <w:r>
              <w:rPr>
                <w:rFonts w:ascii="宋体" w:hAnsi="宋体" w:cs="宋体"/>
                <w:szCs w:val="21"/>
              </w:rPr>
              <w:t>-</w:t>
            </w:r>
            <w:r>
              <w:rPr>
                <w:rFonts w:ascii="宋体" w:hAnsi="宋体" w:cs="宋体" w:hint="eastAsia"/>
                <w:szCs w:val="21"/>
              </w:rPr>
              <w:t>1分。</w:t>
            </w:r>
          </w:p>
        </w:tc>
      </w:tr>
      <w:tr w:rsidR="00085534" w:rsidTr="00CF7E18">
        <w:trPr>
          <w:trHeight w:val="134"/>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vMerge/>
            <w:noWrap/>
            <w:vAlign w:val="center"/>
          </w:tcPr>
          <w:p w:rsidR="00085534" w:rsidRDefault="00085534" w:rsidP="00CF7E18">
            <w:pPr>
              <w:autoSpaceDE w:val="0"/>
              <w:autoSpaceDN w:val="0"/>
              <w:spacing w:line="360" w:lineRule="auto"/>
              <w:jc w:val="center"/>
              <w:rPr>
                <w:rFonts w:ascii="宋体" w:hAnsi="宋体" w:cs="宋体"/>
                <w:szCs w:val="21"/>
              </w:rPr>
            </w:pPr>
          </w:p>
        </w:tc>
        <w:tc>
          <w:tcPr>
            <w:tcW w:w="614" w:type="dxa"/>
            <w:noWrap/>
            <w:vAlign w:val="center"/>
          </w:tcPr>
          <w:p w:rsidR="00085534" w:rsidRDefault="00085534" w:rsidP="00CF7E18">
            <w:pPr>
              <w:autoSpaceDE w:val="0"/>
              <w:autoSpaceDN w:val="0"/>
              <w:spacing w:line="360" w:lineRule="auto"/>
              <w:jc w:val="center"/>
              <w:rPr>
                <w:rFonts w:ascii="宋体" w:hAnsi="宋体" w:cs="宋体"/>
                <w:szCs w:val="21"/>
              </w:rPr>
            </w:pPr>
            <w:r>
              <w:rPr>
                <w:rFonts w:ascii="宋体" w:hAnsi="宋体" w:cs="宋体" w:hint="eastAsia"/>
                <w:szCs w:val="21"/>
              </w:rPr>
              <w:t>4</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根据产品的技术性能、生产工艺、先进性、市场知名度、质量等因素给分。在各投标人所报产品满足招标文件要求的基础上，综合考评产品的可靠性因素进行打分。分为三个评价等级：好3分，较好2分，一般0</w:t>
            </w:r>
            <w:r>
              <w:rPr>
                <w:rFonts w:ascii="宋体" w:hAnsi="宋体" w:cs="宋体"/>
                <w:szCs w:val="21"/>
              </w:rPr>
              <w:t>-</w:t>
            </w:r>
            <w:r>
              <w:rPr>
                <w:rFonts w:ascii="宋体" w:hAnsi="宋体" w:cs="宋体" w:hint="eastAsia"/>
                <w:szCs w:val="21"/>
              </w:rPr>
              <w:t>1分。</w:t>
            </w:r>
          </w:p>
        </w:tc>
      </w:tr>
      <w:tr w:rsidR="00085534" w:rsidTr="00CF7E18">
        <w:trPr>
          <w:trHeight w:val="134"/>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vMerge/>
            <w:noWrap/>
            <w:vAlign w:val="center"/>
          </w:tcPr>
          <w:p w:rsidR="00085534" w:rsidRDefault="00085534" w:rsidP="00CF7E18">
            <w:pPr>
              <w:autoSpaceDE w:val="0"/>
              <w:autoSpaceDN w:val="0"/>
              <w:spacing w:line="360" w:lineRule="auto"/>
              <w:jc w:val="center"/>
              <w:rPr>
                <w:rFonts w:ascii="宋体" w:hAnsi="宋体" w:cs="宋体"/>
                <w:szCs w:val="21"/>
              </w:rPr>
            </w:pPr>
          </w:p>
        </w:tc>
        <w:tc>
          <w:tcPr>
            <w:tcW w:w="614" w:type="dxa"/>
            <w:noWrap/>
            <w:vAlign w:val="center"/>
          </w:tcPr>
          <w:p w:rsidR="00085534" w:rsidRDefault="00085534" w:rsidP="00CF7E18">
            <w:pPr>
              <w:autoSpaceDE w:val="0"/>
              <w:autoSpaceDN w:val="0"/>
              <w:spacing w:line="360" w:lineRule="auto"/>
              <w:jc w:val="center"/>
              <w:rPr>
                <w:rFonts w:ascii="宋体" w:hAnsi="宋体" w:cs="宋体"/>
                <w:szCs w:val="21"/>
              </w:rPr>
            </w:pPr>
            <w:r>
              <w:rPr>
                <w:rFonts w:ascii="宋体" w:hAnsi="宋体" w:cs="宋体" w:hint="eastAsia"/>
                <w:szCs w:val="21"/>
              </w:rPr>
              <w:t>4</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根据产品的技术性能、生产工艺、先进性、市场知名度、质量等因素给分。在各投标人所报产品满足招标文件要求的基础上，综合考评产品的安全性因素进行打分。分为三个评价等级：好3分，较好2分，一般0</w:t>
            </w:r>
            <w:r>
              <w:rPr>
                <w:rFonts w:ascii="宋体" w:hAnsi="宋体" w:cs="宋体"/>
                <w:szCs w:val="21"/>
              </w:rPr>
              <w:t>-</w:t>
            </w:r>
            <w:r>
              <w:rPr>
                <w:rFonts w:ascii="宋体" w:hAnsi="宋体" w:cs="宋体" w:hint="eastAsia"/>
                <w:szCs w:val="21"/>
              </w:rPr>
              <w:t>1分。</w:t>
            </w:r>
          </w:p>
        </w:tc>
      </w:tr>
      <w:tr w:rsidR="00085534" w:rsidTr="00CF7E18">
        <w:trPr>
          <w:trHeight w:val="134"/>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vMerge/>
            <w:noWrap/>
            <w:vAlign w:val="center"/>
          </w:tcPr>
          <w:p w:rsidR="00085534" w:rsidRDefault="00085534" w:rsidP="00CF7E18">
            <w:pPr>
              <w:autoSpaceDE w:val="0"/>
              <w:autoSpaceDN w:val="0"/>
              <w:spacing w:line="360" w:lineRule="auto"/>
              <w:jc w:val="center"/>
              <w:rPr>
                <w:rFonts w:ascii="宋体" w:hAnsi="宋体" w:cs="宋体"/>
                <w:szCs w:val="21"/>
              </w:rPr>
            </w:pPr>
          </w:p>
        </w:tc>
        <w:tc>
          <w:tcPr>
            <w:tcW w:w="614" w:type="dxa"/>
            <w:noWrap/>
            <w:vAlign w:val="center"/>
          </w:tcPr>
          <w:p w:rsidR="00085534" w:rsidRDefault="00085534" w:rsidP="00CF7E18">
            <w:pPr>
              <w:autoSpaceDE w:val="0"/>
              <w:autoSpaceDN w:val="0"/>
              <w:spacing w:line="360" w:lineRule="auto"/>
              <w:jc w:val="center"/>
              <w:rPr>
                <w:rFonts w:ascii="宋体" w:hAnsi="宋体" w:cs="宋体"/>
                <w:szCs w:val="21"/>
              </w:rPr>
            </w:pPr>
            <w:r>
              <w:rPr>
                <w:rFonts w:ascii="宋体" w:hAnsi="宋体" w:cs="宋体" w:hint="eastAsia"/>
                <w:szCs w:val="21"/>
              </w:rPr>
              <w:t>3</w:t>
            </w:r>
          </w:p>
        </w:tc>
        <w:tc>
          <w:tcPr>
            <w:tcW w:w="7125" w:type="dxa"/>
            <w:noWrap/>
            <w:vAlign w:val="center"/>
          </w:tcPr>
          <w:p w:rsidR="00085534" w:rsidRDefault="00085534" w:rsidP="00CF7E18">
            <w:pPr>
              <w:spacing w:line="360" w:lineRule="auto"/>
              <w:rPr>
                <w:rFonts w:ascii="宋体" w:hAnsi="宋体" w:cs="宋体"/>
                <w:szCs w:val="21"/>
              </w:rPr>
            </w:pPr>
            <w:r>
              <w:rPr>
                <w:rFonts w:ascii="宋体" w:hAnsi="宋体" w:cs="宋体" w:hint="eastAsia"/>
                <w:szCs w:val="21"/>
              </w:rPr>
              <w:t>根据产品的技术性能、生产工艺、先进性、市场知名度、质量等因素给分。在各投标人所报产品满足招标文件要求的基础上，综合考评产品的稳定性因素进行打分。分为三个评价等级：好3分，较好2分，一般0</w:t>
            </w:r>
            <w:r>
              <w:rPr>
                <w:rFonts w:ascii="宋体" w:hAnsi="宋体" w:cs="宋体"/>
                <w:szCs w:val="21"/>
              </w:rPr>
              <w:t>-</w:t>
            </w:r>
            <w:r>
              <w:rPr>
                <w:rFonts w:ascii="宋体" w:hAnsi="宋体" w:cs="宋体" w:hint="eastAsia"/>
                <w:szCs w:val="21"/>
              </w:rPr>
              <w:t>1分。</w:t>
            </w:r>
          </w:p>
        </w:tc>
      </w:tr>
      <w:tr w:rsidR="00085534" w:rsidTr="00CF7E18">
        <w:trPr>
          <w:trHeight w:val="412"/>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noWrap/>
            <w:vAlign w:val="center"/>
          </w:tcPr>
          <w:p w:rsidR="00085534" w:rsidRDefault="00085534" w:rsidP="00CF7E18">
            <w:pPr>
              <w:spacing w:line="360" w:lineRule="auto"/>
              <w:jc w:val="center"/>
              <w:rPr>
                <w:rFonts w:ascii="宋体" w:hAnsi="宋体"/>
                <w:szCs w:val="21"/>
              </w:rPr>
            </w:pPr>
            <w:r>
              <w:rPr>
                <w:rFonts w:ascii="宋体" w:hAnsi="宋体" w:cs="宋体" w:hint="eastAsia"/>
                <w:szCs w:val="21"/>
              </w:rPr>
              <w:t>培训计划</w:t>
            </w:r>
          </w:p>
        </w:tc>
        <w:tc>
          <w:tcPr>
            <w:tcW w:w="614" w:type="dxa"/>
            <w:noWrap/>
            <w:vAlign w:val="center"/>
          </w:tcPr>
          <w:p w:rsidR="00085534" w:rsidRDefault="00085534" w:rsidP="00CF7E18">
            <w:pPr>
              <w:spacing w:line="360" w:lineRule="auto"/>
              <w:jc w:val="center"/>
              <w:rPr>
                <w:rFonts w:ascii="宋体" w:hAnsi="宋体"/>
                <w:szCs w:val="21"/>
              </w:rPr>
            </w:pPr>
            <w:r>
              <w:rPr>
                <w:rFonts w:ascii="宋体" w:hAnsi="宋体" w:cs="宋体" w:hint="eastAsia"/>
                <w:szCs w:val="21"/>
              </w:rPr>
              <w:t>1</w:t>
            </w:r>
          </w:p>
        </w:tc>
        <w:tc>
          <w:tcPr>
            <w:tcW w:w="7125" w:type="dxa"/>
            <w:noWrap/>
            <w:vAlign w:val="center"/>
          </w:tcPr>
          <w:p w:rsidR="00085534" w:rsidRDefault="00085534" w:rsidP="00CF7E18">
            <w:pPr>
              <w:spacing w:line="360" w:lineRule="auto"/>
              <w:rPr>
                <w:rFonts w:ascii="宋体" w:hAnsi="宋体"/>
                <w:szCs w:val="21"/>
              </w:rPr>
            </w:pPr>
            <w:r>
              <w:rPr>
                <w:rFonts w:ascii="宋体" w:hAnsi="宋体" w:cs="宋体" w:hint="eastAsia"/>
                <w:szCs w:val="21"/>
              </w:rPr>
              <w:t>根据提出的培训计划的完整性和合理性等具体情况酌情得0-1分。</w:t>
            </w:r>
          </w:p>
        </w:tc>
      </w:tr>
      <w:tr w:rsidR="00085534" w:rsidTr="00CF7E18">
        <w:trPr>
          <w:trHeight w:val="382"/>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vMerge w:val="restart"/>
            <w:noWrap/>
            <w:vAlign w:val="center"/>
          </w:tcPr>
          <w:p w:rsidR="00085534" w:rsidRDefault="00085534" w:rsidP="00CF7E18">
            <w:pPr>
              <w:spacing w:line="360" w:lineRule="auto"/>
              <w:ind w:leftChars="-50" w:left="-105" w:rightChars="-50" w:right="-105"/>
              <w:jc w:val="center"/>
              <w:rPr>
                <w:rFonts w:ascii="宋体" w:hAnsi="宋体"/>
                <w:spacing w:val="-8"/>
                <w:szCs w:val="21"/>
              </w:rPr>
            </w:pPr>
            <w:r>
              <w:rPr>
                <w:rFonts w:ascii="宋体" w:hAnsi="宋体" w:hint="eastAsia"/>
                <w:spacing w:val="-8"/>
                <w:szCs w:val="21"/>
              </w:rPr>
              <w:t>售后服务</w:t>
            </w:r>
          </w:p>
        </w:tc>
        <w:tc>
          <w:tcPr>
            <w:tcW w:w="614" w:type="dxa"/>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hint="eastAsia"/>
                <w:spacing w:val="-10"/>
                <w:szCs w:val="21"/>
              </w:rPr>
              <w:t>2</w:t>
            </w:r>
          </w:p>
        </w:tc>
        <w:tc>
          <w:tcPr>
            <w:tcW w:w="7125" w:type="dxa"/>
            <w:noWrap/>
            <w:vAlign w:val="center"/>
          </w:tcPr>
          <w:p w:rsidR="00085534" w:rsidRDefault="00085534" w:rsidP="00CF7E18">
            <w:pPr>
              <w:spacing w:line="360" w:lineRule="auto"/>
              <w:ind w:leftChars="-50" w:left="-105" w:rightChars="-50" w:right="-105"/>
              <w:rPr>
                <w:rFonts w:ascii="宋体" w:hAnsi="宋体" w:cs="宋体"/>
                <w:szCs w:val="21"/>
              </w:rPr>
            </w:pPr>
            <w:r>
              <w:rPr>
                <w:rFonts w:ascii="宋体" w:hAnsi="宋体" w:cs="宋体" w:hint="eastAsia"/>
                <w:szCs w:val="21"/>
              </w:rPr>
              <w:t>有对使用单位设备维护管理人员免费培训计划的，经综合比较后依优劣酌情给分，好2分，一般0-1分。</w:t>
            </w:r>
          </w:p>
        </w:tc>
      </w:tr>
      <w:tr w:rsidR="00085534" w:rsidTr="00CF7E18">
        <w:trPr>
          <w:trHeight w:val="649"/>
          <w:jc w:val="center"/>
        </w:trPr>
        <w:tc>
          <w:tcPr>
            <w:tcW w:w="702" w:type="dxa"/>
            <w:vMerge/>
            <w:noWrap/>
            <w:vAlign w:val="center"/>
          </w:tcPr>
          <w:p w:rsidR="00085534" w:rsidRDefault="00085534" w:rsidP="00CF7E18">
            <w:pPr>
              <w:spacing w:line="360" w:lineRule="auto"/>
              <w:ind w:leftChars="-50" w:left="-105" w:rightChars="-50" w:right="-105"/>
              <w:jc w:val="center"/>
              <w:rPr>
                <w:rFonts w:ascii="宋体" w:hAnsi="宋体"/>
                <w:spacing w:val="-10"/>
                <w:szCs w:val="21"/>
              </w:rPr>
            </w:pPr>
          </w:p>
        </w:tc>
        <w:tc>
          <w:tcPr>
            <w:tcW w:w="593" w:type="dxa"/>
            <w:vMerge/>
            <w:noWrap/>
            <w:vAlign w:val="center"/>
          </w:tcPr>
          <w:p w:rsidR="00085534" w:rsidRDefault="00085534" w:rsidP="00CF7E18">
            <w:pPr>
              <w:spacing w:line="360" w:lineRule="auto"/>
              <w:ind w:leftChars="-50" w:left="-105" w:rightChars="-50" w:right="-105"/>
              <w:jc w:val="center"/>
              <w:rPr>
                <w:rFonts w:ascii="宋体" w:hAnsi="宋体"/>
                <w:spacing w:val="-20"/>
                <w:szCs w:val="21"/>
              </w:rPr>
            </w:pPr>
          </w:p>
        </w:tc>
        <w:tc>
          <w:tcPr>
            <w:tcW w:w="1484" w:type="dxa"/>
            <w:vMerge/>
            <w:noWrap/>
            <w:vAlign w:val="center"/>
          </w:tcPr>
          <w:p w:rsidR="00085534" w:rsidRDefault="00085534" w:rsidP="00CF7E18">
            <w:pPr>
              <w:spacing w:line="360" w:lineRule="auto"/>
              <w:ind w:leftChars="-50" w:left="-105" w:rightChars="-50" w:right="-105"/>
              <w:jc w:val="center"/>
              <w:rPr>
                <w:rFonts w:ascii="宋体" w:hAnsi="宋体"/>
                <w:spacing w:val="-6"/>
                <w:szCs w:val="21"/>
              </w:rPr>
            </w:pPr>
          </w:p>
        </w:tc>
        <w:tc>
          <w:tcPr>
            <w:tcW w:w="614" w:type="dxa"/>
            <w:noWrap/>
            <w:vAlign w:val="center"/>
          </w:tcPr>
          <w:p w:rsidR="00085534" w:rsidRDefault="00085534" w:rsidP="00CF7E18">
            <w:pPr>
              <w:spacing w:line="360" w:lineRule="auto"/>
              <w:ind w:leftChars="-50" w:left="-105" w:rightChars="-50" w:right="-105"/>
              <w:jc w:val="center"/>
              <w:rPr>
                <w:rFonts w:ascii="宋体" w:hAnsi="宋体"/>
                <w:spacing w:val="-10"/>
                <w:szCs w:val="21"/>
              </w:rPr>
            </w:pPr>
            <w:r>
              <w:rPr>
                <w:rFonts w:ascii="宋体" w:hAnsi="宋体" w:hint="eastAsia"/>
                <w:spacing w:val="-10"/>
                <w:szCs w:val="21"/>
              </w:rPr>
              <w:t>2</w:t>
            </w:r>
          </w:p>
        </w:tc>
        <w:tc>
          <w:tcPr>
            <w:tcW w:w="7125" w:type="dxa"/>
            <w:noWrap/>
            <w:vAlign w:val="center"/>
          </w:tcPr>
          <w:p w:rsidR="00085534" w:rsidRDefault="00085534" w:rsidP="00CF7E18">
            <w:pPr>
              <w:spacing w:line="360" w:lineRule="auto"/>
              <w:ind w:leftChars="-50" w:left="-105" w:rightChars="-50" w:right="-105"/>
              <w:rPr>
                <w:rFonts w:ascii="宋体" w:hAnsi="宋体" w:cs="宋体"/>
                <w:szCs w:val="21"/>
              </w:rPr>
            </w:pPr>
            <w:r>
              <w:rPr>
                <w:rFonts w:ascii="宋体" w:hAnsi="宋体" w:cs="宋体" w:hint="eastAsia"/>
                <w:szCs w:val="21"/>
              </w:rPr>
              <w:t>故障响应时间及质保期内上门售后服务措施具体可行，售后服务措施、安装、培训等经综合比较后依优劣酌情给分，好2分，一般0-1分。</w:t>
            </w:r>
          </w:p>
        </w:tc>
      </w:tr>
    </w:tbl>
    <w:p w:rsidR="00085534" w:rsidRDefault="00085534" w:rsidP="00085534"/>
    <w:p w:rsidR="00085534" w:rsidRPr="00085534" w:rsidRDefault="00085534" w:rsidP="00085534">
      <w:pPr>
        <w:tabs>
          <w:tab w:val="left" w:pos="312"/>
        </w:tabs>
        <w:rPr>
          <w:rFonts w:ascii="宋体" w:hAnsi="宋体" w:cs="宋体"/>
          <w:color w:val="000000"/>
          <w:sz w:val="28"/>
          <w:szCs w:val="28"/>
        </w:rPr>
      </w:pPr>
    </w:p>
    <w:sectPr w:rsidR="00085534" w:rsidRPr="00085534" w:rsidSect="00D06B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A81" w:rsidRDefault="00B52A81" w:rsidP="009F0A27">
      <w:r>
        <w:separator/>
      </w:r>
    </w:p>
  </w:endnote>
  <w:endnote w:type="continuationSeparator" w:id="1">
    <w:p w:rsidR="00B52A81" w:rsidRDefault="00B52A81" w:rsidP="009F0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A81" w:rsidRDefault="00B52A81" w:rsidP="009F0A27">
      <w:r>
        <w:separator/>
      </w:r>
    </w:p>
  </w:footnote>
  <w:footnote w:type="continuationSeparator" w:id="1">
    <w:p w:rsidR="00B52A81" w:rsidRDefault="00B52A81" w:rsidP="009F0A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CC7361"/>
    <w:multiLevelType w:val="singleLevel"/>
    <w:tmpl w:val="E2CC7361"/>
    <w:lvl w:ilvl="0">
      <w:start w:val="1"/>
      <w:numFmt w:val="decimal"/>
      <w:lvlText w:val="%1."/>
      <w:lvlJc w:val="left"/>
      <w:pPr>
        <w:tabs>
          <w:tab w:val="left" w:pos="312"/>
        </w:tabs>
      </w:pPr>
    </w:lvl>
  </w:abstractNum>
  <w:abstractNum w:abstractNumId="1">
    <w:nsid w:val="FE1FFD17"/>
    <w:multiLevelType w:val="singleLevel"/>
    <w:tmpl w:val="FE1FFD17"/>
    <w:lvl w:ilvl="0">
      <w:start w:val="1"/>
      <w:numFmt w:val="decimal"/>
      <w:lvlText w:val="%1."/>
      <w:lvlJc w:val="left"/>
      <w:pPr>
        <w:tabs>
          <w:tab w:val="left" w:pos="312"/>
        </w:tabs>
      </w:pPr>
    </w:lvl>
  </w:abstractNum>
  <w:abstractNum w:abstractNumId="2">
    <w:nsid w:val="1D4348CB"/>
    <w:multiLevelType w:val="multilevel"/>
    <w:tmpl w:val="1D4348CB"/>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29B087AF"/>
    <w:multiLevelType w:val="singleLevel"/>
    <w:tmpl w:val="29B087AF"/>
    <w:lvl w:ilvl="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49111A"/>
    <w:rsid w:val="00085534"/>
    <w:rsid w:val="009F0A27"/>
    <w:rsid w:val="00AE2D2E"/>
    <w:rsid w:val="00B52A81"/>
    <w:rsid w:val="00CF05DC"/>
    <w:rsid w:val="00D06B5F"/>
    <w:rsid w:val="2749111A"/>
    <w:rsid w:val="623F1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B5F"/>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rsid w:val="00D06B5F"/>
    <w:pPr>
      <w:keepNext/>
      <w:keepLines/>
      <w:numPr>
        <w:ilvl w:val="3"/>
        <w:numId w:val="1"/>
      </w:numPr>
      <w:autoSpaceDE w:val="0"/>
      <w:autoSpaceDN w:val="0"/>
      <w:adjustRightInd w:val="0"/>
      <w:spacing w:before="120" w:after="120"/>
      <w:jc w:val="left"/>
      <w:textAlignment w:val="baseline"/>
      <w:outlineLvl w:val="3"/>
    </w:pPr>
    <w:rPr>
      <w:rFonts w:ascii="Arial" w:hAnsi="Arial"/>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F0A27"/>
    <w:rPr>
      <w:rFonts w:asciiTheme="minorHAnsi" w:eastAsiaTheme="minorEastAsia" w:hAnsiTheme="minorHAnsi" w:cstheme="minorBidi"/>
      <w:kern w:val="2"/>
      <w:sz w:val="18"/>
      <w:szCs w:val="18"/>
    </w:rPr>
  </w:style>
  <w:style w:type="paragraph" w:styleId="a4">
    <w:name w:val="footer"/>
    <w:basedOn w:val="a"/>
    <w:link w:val="Char0"/>
    <w:rsid w:val="009F0A27"/>
    <w:pPr>
      <w:tabs>
        <w:tab w:val="center" w:pos="4153"/>
        <w:tab w:val="right" w:pos="8306"/>
      </w:tabs>
      <w:snapToGrid w:val="0"/>
      <w:jc w:val="left"/>
    </w:pPr>
    <w:rPr>
      <w:sz w:val="18"/>
      <w:szCs w:val="18"/>
    </w:rPr>
  </w:style>
  <w:style w:type="character" w:customStyle="1" w:styleId="Char0">
    <w:name w:val="页脚 Char"/>
    <w:basedOn w:val="a0"/>
    <w:link w:val="a4"/>
    <w:rsid w:val="009F0A2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史前动物1403091370</dc:creator>
  <cp:lastModifiedBy>leovo</cp:lastModifiedBy>
  <cp:revision>3</cp:revision>
  <dcterms:created xsi:type="dcterms:W3CDTF">2019-12-02T06:43:00Z</dcterms:created>
  <dcterms:modified xsi:type="dcterms:W3CDTF">2019-12-06T01:00:00Z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