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2"/>
        </w:numPr>
        <w:jc w:val="left"/>
        <w:rPr>
          <w:rFonts w:ascii="宋体" w:hAnsi="宋体"/>
        </w:rPr>
      </w:pPr>
      <w:r>
        <w:rPr>
          <w:rFonts w:ascii="宋体" w:hAnsi="宋体"/>
        </w:rPr>
        <w:t>采购清单</w:t>
      </w:r>
    </w:p>
    <w:tbl>
      <w:tblPr>
        <w:tblStyle w:val="29"/>
        <w:tblW w:w="9072" w:type="dxa"/>
        <w:jc w:val="center"/>
        <w:tblInd w:w="0" w:type="dxa"/>
        <w:tblLayout w:type="fixed"/>
        <w:tblCellMar>
          <w:top w:w="0" w:type="dxa"/>
          <w:left w:w="108" w:type="dxa"/>
          <w:bottom w:w="0" w:type="dxa"/>
          <w:right w:w="108" w:type="dxa"/>
        </w:tblCellMar>
      </w:tblPr>
      <w:tblGrid>
        <w:gridCol w:w="2235"/>
        <w:gridCol w:w="5132"/>
        <w:gridCol w:w="882"/>
        <w:gridCol w:w="823"/>
      </w:tblGrid>
      <w:tr>
        <w:tblPrEx>
          <w:tblLayout w:type="fixed"/>
          <w:tblCellMar>
            <w:top w:w="0" w:type="dxa"/>
            <w:left w:w="108" w:type="dxa"/>
            <w:bottom w:w="0" w:type="dxa"/>
            <w:right w:w="108" w:type="dxa"/>
          </w:tblCellMar>
        </w:tblPrEx>
        <w:trPr>
          <w:trHeight w:val="394" w:hRule="atLeast"/>
          <w:jc w:val="center"/>
        </w:trPr>
        <w:tc>
          <w:tcPr>
            <w:tcW w:w="2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类型</w:t>
            </w:r>
          </w:p>
        </w:tc>
        <w:tc>
          <w:tcPr>
            <w:tcW w:w="513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参数</w:t>
            </w:r>
          </w:p>
        </w:tc>
        <w:tc>
          <w:tcPr>
            <w:tcW w:w="88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数量</w:t>
            </w:r>
          </w:p>
        </w:tc>
        <w:tc>
          <w:tcPr>
            <w:tcW w:w="82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w:t>
            </w:r>
          </w:p>
        </w:tc>
      </w:tr>
      <w:tr>
        <w:tblPrEx>
          <w:tblLayout w:type="fixed"/>
          <w:tblCellMar>
            <w:top w:w="0" w:type="dxa"/>
            <w:left w:w="108" w:type="dxa"/>
            <w:bottom w:w="0" w:type="dxa"/>
            <w:right w:w="108" w:type="dxa"/>
          </w:tblCellMar>
        </w:tblPrEx>
        <w:trPr>
          <w:trHeight w:val="1191" w:hRule="atLeast"/>
          <w:jc w:val="center"/>
        </w:trPr>
        <w:tc>
          <w:tcPr>
            <w:tcW w:w="2235"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VPN集中管理平台</w:t>
            </w:r>
          </w:p>
        </w:tc>
        <w:tc>
          <w:tcPr>
            <w:tcW w:w="513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1U机箱，6个千兆电口，提供：VPN动态隧道管理、VRC用户管理、设备信息管理、设备配置管理、日志管理、报表管理。可管理100台VPN设备；</w:t>
            </w:r>
          </w:p>
        </w:tc>
        <w:tc>
          <w:tcPr>
            <w:tcW w:w="8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8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r>
      <w:tr>
        <w:tblPrEx>
          <w:tblLayout w:type="fixed"/>
          <w:tblCellMar>
            <w:top w:w="0" w:type="dxa"/>
            <w:left w:w="108" w:type="dxa"/>
            <w:bottom w:w="0" w:type="dxa"/>
            <w:right w:w="108" w:type="dxa"/>
          </w:tblCellMar>
        </w:tblPrEx>
        <w:trPr>
          <w:trHeight w:val="394" w:hRule="atLeast"/>
          <w:jc w:val="center"/>
        </w:trPr>
        <w:tc>
          <w:tcPr>
            <w:tcW w:w="223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c>
          <w:tcPr>
            <w:tcW w:w="513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SSL用户端许可</w:t>
            </w:r>
          </w:p>
        </w:tc>
        <w:tc>
          <w:tcPr>
            <w:tcW w:w="8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100</w:t>
            </w:r>
          </w:p>
        </w:tc>
        <w:tc>
          <w:tcPr>
            <w:tcW w:w="8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r>
      <w:tr>
        <w:tblPrEx>
          <w:tblLayout w:type="fixed"/>
          <w:tblCellMar>
            <w:top w:w="0" w:type="dxa"/>
            <w:left w:w="108" w:type="dxa"/>
            <w:bottom w:w="0" w:type="dxa"/>
            <w:right w:w="108" w:type="dxa"/>
          </w:tblCellMar>
        </w:tblPrEx>
        <w:trPr>
          <w:trHeight w:val="2693" w:hRule="atLeast"/>
          <w:jc w:val="center"/>
        </w:trPr>
        <w:tc>
          <w:tcPr>
            <w:tcW w:w="223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网页防火墙</w:t>
            </w:r>
          </w:p>
        </w:tc>
        <w:tc>
          <w:tcPr>
            <w:tcW w:w="513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标准2U硬件平台，标配网口：2千兆电口管理口，千兆业务电口*4（含2组硬件BYPASS模块），千兆业务光口*4（标配多模SFP模块*2，不含硬件BYPASS模块）</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硬盘容量：1T，内存：16G，USB口：USB2.0口*2，串口：RJ45口*1，电源：1+1热插拔冗余电源，应用吞吐量6Gbps，HTTP最大并发数35万，HTTP最大新建数3.2万，保护站点无限制</w:t>
            </w:r>
          </w:p>
        </w:tc>
        <w:tc>
          <w:tcPr>
            <w:tcW w:w="8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8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r>
      <w:tr>
        <w:tblPrEx>
          <w:tblLayout w:type="fixed"/>
          <w:tblCellMar>
            <w:top w:w="0" w:type="dxa"/>
            <w:left w:w="108" w:type="dxa"/>
            <w:bottom w:w="0" w:type="dxa"/>
            <w:right w:w="108" w:type="dxa"/>
          </w:tblCellMar>
        </w:tblPrEx>
        <w:trPr>
          <w:trHeight w:val="394" w:hRule="atLeast"/>
          <w:jc w:val="center"/>
        </w:trPr>
        <w:tc>
          <w:tcPr>
            <w:tcW w:w="223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服务器HBA卡</w:t>
            </w:r>
          </w:p>
        </w:tc>
        <w:tc>
          <w:tcPr>
            <w:tcW w:w="513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ascii="宋体" w:hAnsi="宋体" w:eastAsia="宋体" w:cs="宋体"/>
                <w:color w:val="000000"/>
                <w:kern w:val="0"/>
                <w:sz w:val="22"/>
              </w:rPr>
              <w:t>FC HBA卡-8Gb(QLE2560)-单端口-SFP+(含1个多模光模块)-PCIe 2.0 x4</w:t>
            </w:r>
          </w:p>
        </w:tc>
        <w:tc>
          <w:tcPr>
            <w:tcW w:w="8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w:t>
            </w:r>
          </w:p>
        </w:tc>
        <w:tc>
          <w:tcPr>
            <w:tcW w:w="8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块</w:t>
            </w:r>
          </w:p>
        </w:tc>
      </w:tr>
      <w:tr>
        <w:tblPrEx>
          <w:tblLayout w:type="fixed"/>
          <w:tblCellMar>
            <w:top w:w="0" w:type="dxa"/>
            <w:left w:w="108" w:type="dxa"/>
            <w:bottom w:w="0" w:type="dxa"/>
            <w:right w:w="108" w:type="dxa"/>
          </w:tblCellMar>
        </w:tblPrEx>
        <w:trPr>
          <w:trHeight w:val="394" w:hRule="atLeast"/>
          <w:jc w:val="center"/>
        </w:trPr>
        <w:tc>
          <w:tcPr>
            <w:tcW w:w="223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光纤模块</w:t>
            </w:r>
          </w:p>
        </w:tc>
        <w:tc>
          <w:tcPr>
            <w:tcW w:w="513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ascii="宋体" w:hAnsi="宋体" w:eastAsia="宋体" w:cs="宋体"/>
                <w:color w:val="000000"/>
                <w:kern w:val="0"/>
                <w:sz w:val="22"/>
              </w:rPr>
              <w:t>1000BASE-LX SFP  (1310nm, 10km, LC）</w:t>
            </w:r>
          </w:p>
        </w:tc>
        <w:tc>
          <w:tcPr>
            <w:tcW w:w="8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8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r>
      <w:tr>
        <w:tblPrEx>
          <w:tblLayout w:type="fixed"/>
          <w:tblCellMar>
            <w:top w:w="0" w:type="dxa"/>
            <w:left w:w="108" w:type="dxa"/>
            <w:bottom w:w="0" w:type="dxa"/>
            <w:right w:w="108" w:type="dxa"/>
          </w:tblCellMar>
        </w:tblPrEx>
        <w:trPr>
          <w:trHeight w:val="394" w:hRule="atLeast"/>
          <w:jc w:val="center"/>
        </w:trPr>
        <w:tc>
          <w:tcPr>
            <w:tcW w:w="223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光纤跳线</w:t>
            </w:r>
          </w:p>
        </w:tc>
        <w:tc>
          <w:tcPr>
            <w:tcW w:w="513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ascii="宋体" w:hAnsi="宋体" w:eastAsia="宋体" w:cs="宋体"/>
                <w:color w:val="000000"/>
                <w:kern w:val="0"/>
                <w:sz w:val="22"/>
              </w:rPr>
              <w:t>OFC-GJFJBV-YE-LU-LU-20-10-HYW1</w:t>
            </w:r>
          </w:p>
        </w:tc>
        <w:tc>
          <w:tcPr>
            <w:tcW w:w="8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w:t>
            </w:r>
          </w:p>
        </w:tc>
        <w:tc>
          <w:tcPr>
            <w:tcW w:w="8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根</w:t>
            </w:r>
          </w:p>
        </w:tc>
      </w:tr>
      <w:tr>
        <w:tblPrEx>
          <w:tblLayout w:type="fixed"/>
          <w:tblCellMar>
            <w:top w:w="0" w:type="dxa"/>
            <w:left w:w="108" w:type="dxa"/>
            <w:bottom w:w="0" w:type="dxa"/>
            <w:right w:w="108" w:type="dxa"/>
          </w:tblCellMar>
        </w:tblPrEx>
        <w:trPr>
          <w:trHeight w:val="394" w:hRule="atLeast"/>
          <w:jc w:val="center"/>
        </w:trPr>
        <w:tc>
          <w:tcPr>
            <w:tcW w:w="223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光纤跳线</w:t>
            </w:r>
          </w:p>
        </w:tc>
        <w:tc>
          <w:tcPr>
            <w:tcW w:w="513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ascii="宋体" w:hAnsi="宋体" w:eastAsia="宋体" w:cs="宋体"/>
                <w:color w:val="000000"/>
                <w:kern w:val="0"/>
                <w:sz w:val="22"/>
              </w:rPr>
              <w:t>OFC-GJFJBV-YE-LU-LU-20-5-HYW1</w:t>
            </w:r>
          </w:p>
        </w:tc>
        <w:tc>
          <w:tcPr>
            <w:tcW w:w="8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24</w:t>
            </w:r>
          </w:p>
        </w:tc>
        <w:tc>
          <w:tcPr>
            <w:tcW w:w="8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根</w:t>
            </w:r>
          </w:p>
        </w:tc>
      </w:tr>
    </w:tbl>
    <w:p>
      <w:pPr>
        <w:pStyle w:val="3"/>
        <w:numPr>
          <w:ilvl w:val="0"/>
          <w:numId w:val="2"/>
        </w:numPr>
        <w:jc w:val="left"/>
        <w:rPr>
          <w:rFonts w:ascii="宋体" w:hAnsi="宋体"/>
        </w:rPr>
      </w:pPr>
      <w:r>
        <w:rPr>
          <w:rFonts w:hint="eastAsia" w:ascii="宋体" w:hAnsi="宋体"/>
        </w:rPr>
        <w:t>参数</w:t>
      </w:r>
      <w:r>
        <w:rPr>
          <w:rFonts w:ascii="宋体" w:hAnsi="宋体"/>
        </w:rPr>
        <w:t>及</w:t>
      </w:r>
      <w:r>
        <w:rPr>
          <w:rFonts w:hint="eastAsia" w:ascii="宋体" w:hAnsi="宋体"/>
        </w:rPr>
        <w:t>实施</w:t>
      </w:r>
      <w:r>
        <w:rPr>
          <w:rFonts w:ascii="宋体" w:hAnsi="宋体"/>
        </w:rPr>
        <w:t>要求</w:t>
      </w:r>
    </w:p>
    <w:p>
      <w:pPr>
        <w:pStyle w:val="4"/>
        <w:numPr>
          <w:ilvl w:val="1"/>
          <w:numId w:val="2"/>
        </w:numPr>
        <w:jc w:val="left"/>
        <w:rPr>
          <w:rFonts w:ascii="宋体" w:hAnsi="宋体"/>
        </w:rPr>
      </w:pPr>
      <w:r>
        <w:rPr>
          <w:rFonts w:ascii="宋体" w:hAnsi="宋体"/>
        </w:rPr>
        <w:t>设备参数要求</w:t>
      </w:r>
    </w:p>
    <w:p>
      <w:pPr>
        <w:rPr>
          <w:rFonts w:ascii="宋体" w:hAnsi="宋体" w:eastAsia="宋体"/>
          <w:b/>
          <w:bCs/>
          <w:sz w:val="28"/>
          <w:szCs w:val="28"/>
        </w:rPr>
      </w:pPr>
      <w:r>
        <w:rPr>
          <w:rFonts w:hint="eastAsia" w:ascii="宋体" w:hAnsi="宋体" w:eastAsia="宋体"/>
          <w:b/>
          <w:bCs/>
          <w:sz w:val="28"/>
          <w:szCs w:val="28"/>
        </w:rPr>
        <w:t>1）V</w:t>
      </w:r>
      <w:r>
        <w:rPr>
          <w:rFonts w:ascii="宋体" w:hAnsi="宋体" w:eastAsia="宋体"/>
          <w:b/>
          <w:bCs/>
          <w:sz w:val="28"/>
          <w:szCs w:val="28"/>
        </w:rPr>
        <w:t>PN</w:t>
      </w:r>
      <w:r>
        <w:rPr>
          <w:rFonts w:hint="eastAsia" w:ascii="宋体" w:hAnsi="宋体" w:eastAsia="宋体"/>
          <w:b/>
          <w:bCs/>
          <w:sz w:val="28"/>
          <w:szCs w:val="28"/>
        </w:rPr>
        <w:t>集中管理器</w:t>
      </w:r>
    </w:p>
    <w:tbl>
      <w:tblPr>
        <w:tblStyle w:val="29"/>
        <w:tblW w:w="90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6578"/>
        <w:gridCol w:w="1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4" w:hRule="atLeast"/>
          <w:jc w:val="center"/>
        </w:trPr>
        <w:tc>
          <w:tcPr>
            <w:tcW w:w="1418" w:type="dxa"/>
            <w:shd w:val="clear" w:color="000000" w:fill="AEAAAA"/>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项目</w:t>
            </w:r>
          </w:p>
        </w:tc>
        <w:tc>
          <w:tcPr>
            <w:tcW w:w="6578" w:type="dxa"/>
            <w:shd w:val="clear" w:color="000000" w:fill="AEAAAA"/>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技术规格要求</w:t>
            </w:r>
          </w:p>
        </w:tc>
        <w:tc>
          <w:tcPr>
            <w:tcW w:w="1076" w:type="dxa"/>
            <w:shd w:val="clear" w:color="000000" w:fill="AEAAAA"/>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评审点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418" w:type="dxa"/>
            <w:vMerge w:val="restart"/>
            <w:shd w:val="clear" w:color="auto" w:fill="auto"/>
            <w:vAlign w:val="center"/>
          </w:tcPr>
          <w:p>
            <w:pPr>
              <w:jc w:val="center"/>
              <w:rPr>
                <w:rFonts w:ascii="宋体" w:hAnsi="宋体" w:eastAsia="宋体"/>
                <w:sz w:val="22"/>
              </w:rPr>
            </w:pPr>
            <w:r>
              <w:rPr>
                <w:rFonts w:hint="eastAsia" w:ascii="宋体" w:hAnsi="宋体" w:eastAsia="宋体"/>
                <w:sz w:val="22"/>
              </w:rPr>
              <w:t>厂商资质</w:t>
            </w:r>
          </w:p>
        </w:tc>
        <w:tc>
          <w:tcPr>
            <w:tcW w:w="6578" w:type="dxa"/>
            <w:shd w:val="clear" w:color="auto" w:fill="auto"/>
            <w:vAlign w:val="center"/>
          </w:tcPr>
          <w:p>
            <w:pPr>
              <w:jc w:val="left"/>
              <w:rPr>
                <w:rFonts w:ascii="宋体" w:hAnsi="宋体" w:eastAsia="宋体"/>
                <w:b/>
                <w:bCs/>
                <w:sz w:val="22"/>
              </w:rPr>
            </w:pPr>
            <w:r>
              <w:rPr>
                <w:rFonts w:hint="eastAsia" w:ascii="宋体" w:hAnsi="宋体" w:eastAsia="宋体"/>
                <w:b/>
                <w:bCs/>
                <w:sz w:val="22"/>
              </w:rPr>
              <w:t>产品生产厂商需取得CMMI5资质</w:t>
            </w:r>
          </w:p>
        </w:tc>
        <w:tc>
          <w:tcPr>
            <w:tcW w:w="1076" w:type="dxa"/>
            <w:shd w:val="clear" w:color="auto" w:fill="auto"/>
            <w:vAlign w:val="center"/>
          </w:tcPr>
          <w:p>
            <w:pPr>
              <w:widowControl/>
              <w:jc w:val="center"/>
              <w:rPr>
                <w:rFonts w:ascii="宋体" w:hAnsi="宋体" w:eastAsia="宋体"/>
                <w:b/>
                <w:bCs/>
                <w:sz w:val="22"/>
              </w:rPr>
            </w:pPr>
            <w:r>
              <w:rPr>
                <w:rFonts w:hint="eastAsia" w:ascii="宋体" w:hAnsi="宋体" w:eastAsia="宋体"/>
                <w:b/>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418" w:type="dxa"/>
            <w:vMerge w:val="continue"/>
            <w:vAlign w:val="center"/>
          </w:tcPr>
          <w:p>
            <w:pPr>
              <w:jc w:val="center"/>
              <w:rPr>
                <w:rFonts w:ascii="宋体" w:hAnsi="宋体" w:eastAsia="宋体"/>
                <w:sz w:val="22"/>
              </w:rPr>
            </w:pPr>
          </w:p>
        </w:tc>
        <w:tc>
          <w:tcPr>
            <w:tcW w:w="6578" w:type="dxa"/>
            <w:shd w:val="clear" w:color="auto" w:fill="auto"/>
            <w:vAlign w:val="center"/>
          </w:tcPr>
          <w:p>
            <w:pPr>
              <w:jc w:val="left"/>
              <w:rPr>
                <w:rFonts w:ascii="宋体" w:hAnsi="宋体" w:eastAsia="宋体"/>
                <w:b/>
                <w:bCs/>
                <w:sz w:val="22"/>
              </w:rPr>
            </w:pPr>
            <w:r>
              <w:rPr>
                <w:rFonts w:hint="eastAsia" w:ascii="宋体" w:hAnsi="宋体" w:eastAsia="宋体"/>
                <w:b/>
                <w:bCs/>
                <w:sz w:val="22"/>
              </w:rPr>
              <w:t>中国信息安全测评中心-安全工程类（三级）最高级</w:t>
            </w:r>
          </w:p>
        </w:tc>
        <w:tc>
          <w:tcPr>
            <w:tcW w:w="1076" w:type="dxa"/>
            <w:shd w:val="clear" w:color="auto" w:fill="auto"/>
            <w:vAlign w:val="center"/>
          </w:tcPr>
          <w:p>
            <w:pPr>
              <w:widowControl/>
              <w:jc w:val="center"/>
              <w:rPr>
                <w:rFonts w:ascii="宋体" w:hAnsi="宋体" w:eastAsia="宋体"/>
                <w:b/>
                <w:bCs/>
                <w:sz w:val="22"/>
              </w:rPr>
            </w:pPr>
            <w:r>
              <w:rPr>
                <w:rFonts w:hint="eastAsia" w:ascii="宋体" w:hAnsi="宋体" w:eastAsia="宋体"/>
                <w:b/>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418" w:type="dxa"/>
            <w:vMerge w:val="continue"/>
            <w:vAlign w:val="center"/>
          </w:tcPr>
          <w:p>
            <w:pPr>
              <w:jc w:val="center"/>
              <w:rPr>
                <w:rFonts w:ascii="宋体" w:hAnsi="宋体" w:eastAsia="宋体"/>
                <w:sz w:val="22"/>
              </w:rPr>
            </w:pPr>
          </w:p>
        </w:tc>
        <w:tc>
          <w:tcPr>
            <w:tcW w:w="6578" w:type="dxa"/>
            <w:shd w:val="clear" w:color="auto" w:fill="auto"/>
            <w:vAlign w:val="center"/>
          </w:tcPr>
          <w:p>
            <w:pPr>
              <w:jc w:val="left"/>
              <w:rPr>
                <w:rFonts w:ascii="宋体" w:hAnsi="宋体" w:eastAsia="宋体"/>
                <w:sz w:val="22"/>
              </w:rPr>
            </w:pPr>
            <w:r>
              <w:rPr>
                <w:rFonts w:hint="eastAsia" w:ascii="宋体" w:hAnsi="宋体" w:eastAsia="宋体"/>
                <w:sz w:val="22"/>
              </w:rPr>
              <w:t>中国网络安全审查技术与认证中心颁发—信息系统安全集成服务（一级）最高级</w:t>
            </w:r>
          </w:p>
        </w:tc>
        <w:tc>
          <w:tcPr>
            <w:tcW w:w="1076" w:type="dxa"/>
            <w:shd w:val="clear" w:color="auto" w:fill="auto"/>
            <w:vAlign w:val="center"/>
          </w:tcPr>
          <w:p>
            <w:pPr>
              <w:widowControl/>
              <w:jc w:val="center"/>
              <w:rPr>
                <w:rFonts w:ascii="宋体" w:hAnsi="宋体" w:eastAsia="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418" w:type="dxa"/>
            <w:vMerge w:val="continue"/>
            <w:vAlign w:val="center"/>
          </w:tcPr>
          <w:p>
            <w:pPr>
              <w:jc w:val="center"/>
              <w:rPr>
                <w:rFonts w:ascii="宋体" w:hAnsi="宋体" w:eastAsia="宋体"/>
                <w:sz w:val="22"/>
              </w:rPr>
            </w:pPr>
          </w:p>
        </w:tc>
        <w:tc>
          <w:tcPr>
            <w:tcW w:w="6578" w:type="dxa"/>
            <w:shd w:val="clear" w:color="auto" w:fill="auto"/>
            <w:vAlign w:val="center"/>
          </w:tcPr>
          <w:p>
            <w:pPr>
              <w:jc w:val="left"/>
              <w:rPr>
                <w:rFonts w:ascii="宋体" w:hAnsi="宋体" w:eastAsia="宋体"/>
                <w:sz w:val="22"/>
              </w:rPr>
            </w:pPr>
            <w:r>
              <w:rPr>
                <w:rFonts w:hint="eastAsia" w:ascii="宋体" w:hAnsi="宋体" w:eastAsia="宋体"/>
                <w:sz w:val="22"/>
              </w:rPr>
              <w:t>产品生产厂商具备网络安全应急服务支撑单位证书（国家级）</w:t>
            </w:r>
          </w:p>
        </w:tc>
        <w:tc>
          <w:tcPr>
            <w:tcW w:w="1076" w:type="dxa"/>
            <w:shd w:val="clear" w:color="auto" w:fill="auto"/>
            <w:vAlign w:val="center"/>
          </w:tcPr>
          <w:p>
            <w:pPr>
              <w:widowControl/>
              <w:jc w:val="center"/>
              <w:rPr>
                <w:rFonts w:ascii="宋体" w:hAnsi="宋体" w:eastAsia="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1418" w:type="dxa"/>
            <w:shd w:val="clear" w:color="auto" w:fill="auto"/>
            <w:vAlign w:val="center"/>
          </w:tcPr>
          <w:p>
            <w:pPr>
              <w:jc w:val="center"/>
              <w:rPr>
                <w:rFonts w:ascii="宋体" w:hAnsi="宋体" w:eastAsia="宋体"/>
                <w:sz w:val="22"/>
              </w:rPr>
            </w:pPr>
            <w:r>
              <w:rPr>
                <w:rFonts w:hint="eastAsia" w:ascii="宋体" w:hAnsi="宋体" w:eastAsia="宋体"/>
                <w:sz w:val="22"/>
              </w:rPr>
              <w:t>硬件要求</w:t>
            </w:r>
          </w:p>
        </w:tc>
        <w:tc>
          <w:tcPr>
            <w:tcW w:w="6578" w:type="dxa"/>
            <w:shd w:val="clear" w:color="auto" w:fill="auto"/>
            <w:vAlign w:val="center"/>
          </w:tcPr>
          <w:p>
            <w:pPr>
              <w:jc w:val="left"/>
              <w:rPr>
                <w:rFonts w:ascii="宋体" w:hAnsi="宋体" w:eastAsia="宋体"/>
                <w:sz w:val="22"/>
              </w:rPr>
            </w:pPr>
            <w:r>
              <w:rPr>
                <w:rFonts w:hint="eastAsia" w:ascii="宋体" w:hAnsi="宋体" w:eastAsia="宋体"/>
                <w:sz w:val="22"/>
              </w:rPr>
              <w:t>采用专用硬件架构与专用安全操作系统，基于操作系统内核的完全检测技术；专用的安全操作系统具有自主知识产权；可管理VPN数量≥100。</w:t>
            </w:r>
          </w:p>
        </w:tc>
        <w:tc>
          <w:tcPr>
            <w:tcW w:w="1076" w:type="dxa"/>
            <w:shd w:val="clear" w:color="auto" w:fill="auto"/>
            <w:vAlign w:val="center"/>
          </w:tcPr>
          <w:p>
            <w:pPr>
              <w:widowControl/>
              <w:jc w:val="center"/>
              <w:rPr>
                <w:rFonts w:ascii="宋体" w:hAnsi="宋体" w:eastAsia="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1418" w:type="dxa"/>
            <w:shd w:val="clear" w:color="auto" w:fill="auto"/>
            <w:vAlign w:val="center"/>
          </w:tcPr>
          <w:p>
            <w:pPr>
              <w:jc w:val="center"/>
              <w:rPr>
                <w:rFonts w:ascii="宋体" w:hAnsi="宋体" w:eastAsia="宋体"/>
                <w:b/>
                <w:bCs/>
                <w:sz w:val="22"/>
              </w:rPr>
            </w:pPr>
            <w:bookmarkStart w:id="1" w:name="_GoBack" w:colFirst="0" w:colLast="0"/>
            <w:r>
              <w:rPr>
                <w:rFonts w:hint="eastAsia" w:ascii="宋体" w:hAnsi="宋体" w:eastAsia="宋体"/>
                <w:b/>
                <w:bCs/>
                <w:sz w:val="22"/>
              </w:rPr>
              <w:t>软件要求</w:t>
            </w:r>
          </w:p>
        </w:tc>
        <w:tc>
          <w:tcPr>
            <w:tcW w:w="6578" w:type="dxa"/>
            <w:shd w:val="clear" w:color="auto" w:fill="auto"/>
            <w:vAlign w:val="center"/>
          </w:tcPr>
          <w:p>
            <w:pPr>
              <w:jc w:val="left"/>
              <w:rPr>
                <w:rFonts w:ascii="宋体" w:hAnsi="宋体" w:eastAsia="宋体"/>
                <w:b/>
                <w:bCs/>
                <w:sz w:val="22"/>
              </w:rPr>
            </w:pPr>
            <w:r>
              <w:rPr>
                <w:rFonts w:hint="eastAsia" w:ascii="宋体" w:hAnsi="宋体" w:eastAsia="宋体"/>
                <w:b/>
                <w:bCs/>
                <w:sz w:val="22"/>
              </w:rPr>
              <w:t>采用双安全操作系统，防止配置不当系统故障造成的网络中断，充分保证了系统的稳定性。（提供截图证明并加盖原厂公章）</w:t>
            </w:r>
          </w:p>
        </w:tc>
        <w:tc>
          <w:tcPr>
            <w:tcW w:w="1076" w:type="dxa"/>
            <w:shd w:val="clear" w:color="auto" w:fill="auto"/>
            <w:vAlign w:val="center"/>
          </w:tcPr>
          <w:p>
            <w:pPr>
              <w:widowControl/>
              <w:jc w:val="center"/>
              <w:rPr>
                <w:rFonts w:ascii="宋体" w:hAnsi="宋体" w:eastAsia="宋体"/>
                <w:b/>
                <w:bCs/>
                <w:sz w:val="22"/>
              </w:rPr>
            </w:pPr>
            <w:r>
              <w:rPr>
                <w:rFonts w:hint="eastAsia" w:ascii="宋体" w:hAnsi="宋体" w:eastAsia="宋体"/>
                <w:b/>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418" w:type="dxa"/>
            <w:shd w:val="clear" w:color="auto" w:fill="auto"/>
            <w:vAlign w:val="center"/>
          </w:tcPr>
          <w:p>
            <w:pPr>
              <w:jc w:val="center"/>
              <w:rPr>
                <w:rFonts w:ascii="宋体" w:hAnsi="宋体" w:eastAsia="宋体"/>
                <w:b/>
                <w:bCs/>
                <w:sz w:val="22"/>
              </w:rPr>
            </w:pPr>
            <w:r>
              <w:rPr>
                <w:rFonts w:hint="eastAsia" w:ascii="宋体" w:hAnsi="宋体" w:eastAsia="宋体"/>
                <w:b/>
                <w:bCs/>
                <w:sz w:val="22"/>
              </w:rPr>
              <w:t>端口许可</w:t>
            </w:r>
          </w:p>
        </w:tc>
        <w:tc>
          <w:tcPr>
            <w:tcW w:w="6578" w:type="dxa"/>
            <w:shd w:val="clear" w:color="auto" w:fill="auto"/>
            <w:vAlign w:val="center"/>
          </w:tcPr>
          <w:p>
            <w:pPr>
              <w:jc w:val="left"/>
              <w:rPr>
                <w:rFonts w:ascii="宋体" w:hAnsi="宋体" w:eastAsia="宋体"/>
                <w:b/>
                <w:bCs/>
                <w:sz w:val="22"/>
              </w:rPr>
            </w:pPr>
            <w:r>
              <w:rPr>
                <w:rFonts w:hint="eastAsia" w:ascii="宋体" w:hAnsi="宋体" w:eastAsia="宋体"/>
                <w:b/>
                <w:bCs/>
                <w:sz w:val="22"/>
              </w:rPr>
              <w:t>1U机架式 ，至少配置6个10/100/1000BASE-T接口。开通所有端口及链路许可。</w:t>
            </w:r>
          </w:p>
        </w:tc>
        <w:tc>
          <w:tcPr>
            <w:tcW w:w="1076" w:type="dxa"/>
            <w:shd w:val="clear" w:color="auto" w:fill="auto"/>
            <w:vAlign w:val="center"/>
          </w:tcPr>
          <w:p>
            <w:pPr>
              <w:widowControl/>
              <w:jc w:val="center"/>
              <w:rPr>
                <w:rFonts w:ascii="宋体" w:hAnsi="宋体" w:eastAsia="宋体"/>
                <w:b/>
                <w:bCs/>
                <w:sz w:val="22"/>
              </w:rPr>
            </w:pPr>
            <w:r>
              <w:rPr>
                <w:rFonts w:hint="eastAsia" w:ascii="宋体" w:hAnsi="宋体" w:eastAsia="宋体"/>
                <w:b/>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1418" w:type="dxa"/>
            <w:shd w:val="clear" w:color="auto" w:fill="auto"/>
            <w:vAlign w:val="center"/>
          </w:tcPr>
          <w:p>
            <w:pPr>
              <w:jc w:val="center"/>
              <w:rPr>
                <w:rFonts w:ascii="宋体" w:hAnsi="宋体" w:eastAsia="宋体"/>
                <w:b/>
                <w:bCs/>
                <w:sz w:val="22"/>
              </w:rPr>
            </w:pPr>
            <w:r>
              <w:rPr>
                <w:rFonts w:hint="eastAsia" w:ascii="宋体" w:hAnsi="宋体" w:eastAsia="宋体"/>
                <w:b/>
                <w:bCs/>
                <w:sz w:val="22"/>
              </w:rPr>
              <w:t>监控</w:t>
            </w:r>
          </w:p>
        </w:tc>
        <w:tc>
          <w:tcPr>
            <w:tcW w:w="6578" w:type="dxa"/>
            <w:shd w:val="clear" w:color="auto" w:fill="auto"/>
            <w:vAlign w:val="center"/>
          </w:tcPr>
          <w:p>
            <w:pPr>
              <w:jc w:val="left"/>
              <w:rPr>
                <w:rFonts w:ascii="宋体" w:hAnsi="宋体" w:eastAsia="宋体"/>
                <w:b/>
                <w:bCs/>
                <w:sz w:val="22"/>
              </w:rPr>
            </w:pPr>
            <w:r>
              <w:rPr>
                <w:rFonts w:hint="eastAsia" w:ascii="宋体" w:hAnsi="宋体" w:eastAsia="宋体"/>
                <w:b/>
                <w:bCs/>
                <w:sz w:val="22"/>
              </w:rPr>
              <w:t>支持监控现有武汉市疾控系统内天融信VPN设备的运行状态、设备资源状态、并发用户数、客户端类型分布、IPSEC隧道状态、用户流量、安全事件、区县的接入用户数监控，并通过图表展示；（提供截图证明）</w:t>
            </w:r>
          </w:p>
        </w:tc>
        <w:tc>
          <w:tcPr>
            <w:tcW w:w="1076" w:type="dxa"/>
            <w:shd w:val="clear" w:color="auto" w:fill="auto"/>
            <w:vAlign w:val="center"/>
          </w:tcPr>
          <w:p>
            <w:pPr>
              <w:widowControl/>
              <w:jc w:val="center"/>
              <w:rPr>
                <w:rFonts w:ascii="宋体" w:hAnsi="宋体" w:eastAsia="宋体"/>
                <w:sz w:val="22"/>
              </w:rPr>
            </w:pPr>
            <w:r>
              <w:rPr>
                <w:rFonts w:hint="eastAsia" w:ascii="宋体" w:hAnsi="宋体" w:eastAsia="宋体"/>
                <w:b/>
                <w:bCs/>
                <w:sz w:val="24"/>
                <w:szCs w:val="24"/>
              </w:rPr>
              <w:t>★</w:t>
            </w:r>
          </w:p>
        </w:tc>
      </w:tr>
      <w:bookmark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418" w:type="dxa"/>
            <w:vMerge w:val="restart"/>
            <w:shd w:val="clear" w:color="auto" w:fill="auto"/>
            <w:vAlign w:val="center"/>
          </w:tcPr>
          <w:p>
            <w:pPr>
              <w:jc w:val="center"/>
              <w:rPr>
                <w:rFonts w:ascii="宋体" w:hAnsi="宋体" w:eastAsia="宋体"/>
                <w:sz w:val="22"/>
              </w:rPr>
            </w:pPr>
            <w:r>
              <w:rPr>
                <w:rFonts w:hint="eastAsia" w:ascii="宋体" w:hAnsi="宋体" w:eastAsia="宋体"/>
                <w:sz w:val="22"/>
              </w:rPr>
              <w:t>报表管理</w:t>
            </w:r>
          </w:p>
        </w:tc>
        <w:tc>
          <w:tcPr>
            <w:tcW w:w="6578" w:type="dxa"/>
            <w:shd w:val="clear" w:color="auto" w:fill="auto"/>
            <w:vAlign w:val="center"/>
          </w:tcPr>
          <w:p>
            <w:pPr>
              <w:jc w:val="left"/>
              <w:rPr>
                <w:rFonts w:ascii="宋体" w:hAnsi="宋体" w:eastAsia="宋体"/>
                <w:sz w:val="22"/>
              </w:rPr>
            </w:pPr>
            <w:r>
              <w:rPr>
                <w:rFonts w:hint="eastAsia" w:ascii="宋体" w:hAnsi="宋体" w:eastAsia="宋体"/>
                <w:sz w:val="22"/>
              </w:rPr>
              <w:t>支持详细审计用户登录认证过程、各种认证授权错误、内网资源访问情况等信息；</w:t>
            </w:r>
          </w:p>
        </w:tc>
        <w:tc>
          <w:tcPr>
            <w:tcW w:w="1076" w:type="dxa"/>
            <w:shd w:val="clear" w:color="auto" w:fill="auto"/>
            <w:vAlign w:val="center"/>
          </w:tcPr>
          <w:p>
            <w:pPr>
              <w:widowControl/>
              <w:jc w:val="center"/>
              <w:rPr>
                <w:rFonts w:ascii="宋体" w:hAnsi="宋体" w:eastAsia="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418" w:type="dxa"/>
            <w:vMerge w:val="continue"/>
            <w:vAlign w:val="center"/>
          </w:tcPr>
          <w:p>
            <w:pPr>
              <w:jc w:val="center"/>
              <w:rPr>
                <w:rFonts w:ascii="宋体" w:hAnsi="宋体" w:eastAsia="宋体"/>
                <w:sz w:val="22"/>
              </w:rPr>
            </w:pPr>
          </w:p>
        </w:tc>
        <w:tc>
          <w:tcPr>
            <w:tcW w:w="6578" w:type="dxa"/>
            <w:shd w:val="clear" w:color="auto" w:fill="auto"/>
            <w:vAlign w:val="center"/>
          </w:tcPr>
          <w:p>
            <w:pPr>
              <w:jc w:val="left"/>
              <w:rPr>
                <w:rFonts w:ascii="宋体" w:hAnsi="宋体" w:eastAsia="宋体"/>
                <w:sz w:val="22"/>
              </w:rPr>
            </w:pPr>
            <w:r>
              <w:rPr>
                <w:rFonts w:hint="eastAsia" w:ascii="宋体" w:hAnsi="宋体" w:eastAsia="宋体"/>
                <w:sz w:val="22"/>
              </w:rPr>
              <w:t>支持多级审计日志，可以灵活配置审计级别；支持将日志上传到外部日志服务器。</w:t>
            </w:r>
          </w:p>
        </w:tc>
        <w:tc>
          <w:tcPr>
            <w:tcW w:w="1076" w:type="dxa"/>
            <w:shd w:val="clear" w:color="auto" w:fill="auto"/>
            <w:vAlign w:val="center"/>
          </w:tcPr>
          <w:p>
            <w:pPr>
              <w:widowControl/>
              <w:jc w:val="center"/>
              <w:rPr>
                <w:rFonts w:ascii="宋体" w:hAnsi="宋体" w:eastAsia="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418" w:type="dxa"/>
            <w:vMerge w:val="continue"/>
            <w:vAlign w:val="center"/>
          </w:tcPr>
          <w:p>
            <w:pPr>
              <w:jc w:val="center"/>
              <w:rPr>
                <w:rFonts w:ascii="宋体" w:hAnsi="宋体" w:eastAsia="宋体"/>
                <w:sz w:val="22"/>
              </w:rPr>
            </w:pPr>
          </w:p>
        </w:tc>
        <w:tc>
          <w:tcPr>
            <w:tcW w:w="6578" w:type="dxa"/>
            <w:shd w:val="clear" w:color="auto" w:fill="auto"/>
            <w:vAlign w:val="center"/>
          </w:tcPr>
          <w:p>
            <w:pPr>
              <w:jc w:val="left"/>
              <w:rPr>
                <w:rFonts w:ascii="宋体" w:hAnsi="宋体" w:eastAsia="宋体"/>
                <w:sz w:val="22"/>
              </w:rPr>
            </w:pPr>
            <w:r>
              <w:rPr>
                <w:rFonts w:hint="eastAsia" w:ascii="宋体" w:hAnsi="宋体" w:eastAsia="宋体"/>
                <w:sz w:val="22"/>
              </w:rPr>
              <w:t>支持用户接入实时数量报表，同一天不同时间段的用户接入实时数量对比；</w:t>
            </w:r>
          </w:p>
        </w:tc>
        <w:tc>
          <w:tcPr>
            <w:tcW w:w="1076" w:type="dxa"/>
            <w:shd w:val="clear" w:color="auto" w:fill="auto"/>
            <w:vAlign w:val="center"/>
          </w:tcPr>
          <w:p>
            <w:pPr>
              <w:widowControl/>
              <w:jc w:val="center"/>
              <w:rPr>
                <w:rFonts w:ascii="宋体" w:hAnsi="宋体" w:eastAsia="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418" w:type="dxa"/>
            <w:vMerge w:val="continue"/>
            <w:vAlign w:val="center"/>
          </w:tcPr>
          <w:p>
            <w:pPr>
              <w:jc w:val="center"/>
              <w:rPr>
                <w:rFonts w:ascii="宋体" w:hAnsi="宋体" w:eastAsia="宋体"/>
                <w:sz w:val="22"/>
              </w:rPr>
            </w:pPr>
          </w:p>
        </w:tc>
        <w:tc>
          <w:tcPr>
            <w:tcW w:w="6578" w:type="dxa"/>
            <w:shd w:val="clear" w:color="auto" w:fill="auto"/>
            <w:vAlign w:val="center"/>
          </w:tcPr>
          <w:p>
            <w:pPr>
              <w:jc w:val="left"/>
              <w:rPr>
                <w:rFonts w:ascii="宋体" w:hAnsi="宋体" w:eastAsia="宋体"/>
                <w:sz w:val="22"/>
              </w:rPr>
            </w:pPr>
            <w:r>
              <w:rPr>
                <w:rFonts w:hint="eastAsia" w:ascii="宋体" w:hAnsi="宋体" w:eastAsia="宋体"/>
                <w:sz w:val="22"/>
              </w:rPr>
              <w:t>宽带流量报表及网络宽带流量占比报表；用户操作数据统计：</w:t>
            </w:r>
          </w:p>
        </w:tc>
        <w:tc>
          <w:tcPr>
            <w:tcW w:w="1076" w:type="dxa"/>
            <w:shd w:val="clear" w:color="auto" w:fill="auto"/>
            <w:vAlign w:val="center"/>
          </w:tcPr>
          <w:p>
            <w:pPr>
              <w:widowControl/>
              <w:jc w:val="center"/>
              <w:rPr>
                <w:rFonts w:ascii="宋体" w:hAnsi="宋体" w:eastAsia="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418" w:type="dxa"/>
            <w:vMerge w:val="continue"/>
            <w:vAlign w:val="center"/>
          </w:tcPr>
          <w:p>
            <w:pPr>
              <w:jc w:val="center"/>
              <w:rPr>
                <w:rFonts w:ascii="宋体" w:hAnsi="宋体" w:eastAsia="宋体"/>
                <w:sz w:val="22"/>
              </w:rPr>
            </w:pPr>
          </w:p>
        </w:tc>
        <w:tc>
          <w:tcPr>
            <w:tcW w:w="6578" w:type="dxa"/>
            <w:shd w:val="clear" w:color="auto" w:fill="auto"/>
            <w:vAlign w:val="center"/>
          </w:tcPr>
          <w:p>
            <w:pPr>
              <w:jc w:val="left"/>
              <w:rPr>
                <w:rFonts w:ascii="宋体" w:hAnsi="宋体" w:eastAsia="宋体"/>
                <w:sz w:val="22"/>
              </w:rPr>
            </w:pPr>
            <w:r>
              <w:rPr>
                <w:rFonts w:hint="eastAsia" w:ascii="宋体" w:hAnsi="宋体" w:eastAsia="宋体"/>
                <w:sz w:val="22"/>
              </w:rPr>
              <w:t>登陆和退出时间，操作占比等；</w:t>
            </w:r>
          </w:p>
        </w:tc>
        <w:tc>
          <w:tcPr>
            <w:tcW w:w="1076" w:type="dxa"/>
            <w:shd w:val="clear" w:color="auto" w:fill="auto"/>
            <w:vAlign w:val="center"/>
          </w:tcPr>
          <w:p>
            <w:pPr>
              <w:widowControl/>
              <w:jc w:val="center"/>
              <w:rPr>
                <w:rFonts w:ascii="宋体" w:hAnsi="宋体" w:eastAsia="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418" w:type="dxa"/>
            <w:vMerge w:val="continue"/>
            <w:vAlign w:val="center"/>
          </w:tcPr>
          <w:p>
            <w:pPr>
              <w:jc w:val="center"/>
              <w:rPr>
                <w:rFonts w:ascii="宋体" w:hAnsi="宋体" w:eastAsia="宋体"/>
                <w:sz w:val="22"/>
              </w:rPr>
            </w:pPr>
          </w:p>
        </w:tc>
        <w:tc>
          <w:tcPr>
            <w:tcW w:w="6578" w:type="dxa"/>
            <w:shd w:val="clear" w:color="auto" w:fill="auto"/>
            <w:vAlign w:val="center"/>
          </w:tcPr>
          <w:p>
            <w:pPr>
              <w:jc w:val="left"/>
              <w:rPr>
                <w:rFonts w:ascii="宋体" w:hAnsi="宋体" w:eastAsia="宋体"/>
                <w:sz w:val="22"/>
              </w:rPr>
            </w:pPr>
            <w:r>
              <w:rPr>
                <w:rFonts w:hint="eastAsia" w:ascii="宋体" w:hAnsi="宋体" w:eastAsia="宋体"/>
                <w:sz w:val="22"/>
              </w:rPr>
              <w:t>同一时间段用户断线重拨数的数据统计，断线次数及占比；</w:t>
            </w:r>
          </w:p>
        </w:tc>
        <w:tc>
          <w:tcPr>
            <w:tcW w:w="1076" w:type="dxa"/>
            <w:shd w:val="clear" w:color="auto" w:fill="auto"/>
            <w:vAlign w:val="center"/>
          </w:tcPr>
          <w:p>
            <w:pPr>
              <w:widowControl/>
              <w:jc w:val="center"/>
              <w:rPr>
                <w:rFonts w:ascii="宋体" w:hAnsi="宋体" w:eastAsia="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418" w:type="dxa"/>
            <w:vMerge w:val="continue"/>
            <w:vAlign w:val="center"/>
          </w:tcPr>
          <w:p>
            <w:pPr>
              <w:jc w:val="center"/>
              <w:rPr>
                <w:rFonts w:ascii="宋体" w:hAnsi="宋体" w:eastAsia="宋体"/>
                <w:sz w:val="22"/>
              </w:rPr>
            </w:pPr>
          </w:p>
        </w:tc>
        <w:tc>
          <w:tcPr>
            <w:tcW w:w="6578" w:type="dxa"/>
            <w:shd w:val="clear" w:color="auto" w:fill="auto"/>
            <w:vAlign w:val="center"/>
          </w:tcPr>
          <w:p>
            <w:pPr>
              <w:jc w:val="left"/>
              <w:rPr>
                <w:rFonts w:ascii="宋体" w:hAnsi="宋体" w:eastAsia="宋体"/>
                <w:sz w:val="22"/>
              </w:rPr>
            </w:pPr>
            <w:r>
              <w:rPr>
                <w:rFonts w:hint="eastAsia" w:ascii="宋体" w:hAnsi="宋体" w:eastAsia="宋体"/>
                <w:sz w:val="22"/>
              </w:rPr>
              <w:t>不同链路的链路地址信息等；</w:t>
            </w:r>
          </w:p>
        </w:tc>
        <w:tc>
          <w:tcPr>
            <w:tcW w:w="1076" w:type="dxa"/>
            <w:shd w:val="clear" w:color="auto" w:fill="auto"/>
            <w:vAlign w:val="center"/>
          </w:tcPr>
          <w:p>
            <w:pPr>
              <w:widowControl/>
              <w:jc w:val="center"/>
              <w:rPr>
                <w:rFonts w:ascii="宋体" w:hAnsi="宋体" w:eastAsia="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418" w:type="dxa"/>
            <w:vMerge w:val="continue"/>
            <w:vAlign w:val="center"/>
          </w:tcPr>
          <w:p>
            <w:pPr>
              <w:jc w:val="center"/>
              <w:rPr>
                <w:rFonts w:ascii="宋体" w:hAnsi="宋体" w:eastAsia="宋体"/>
                <w:sz w:val="22"/>
              </w:rPr>
            </w:pPr>
          </w:p>
        </w:tc>
        <w:tc>
          <w:tcPr>
            <w:tcW w:w="6578" w:type="dxa"/>
            <w:shd w:val="clear" w:color="auto" w:fill="auto"/>
            <w:vAlign w:val="center"/>
          </w:tcPr>
          <w:p>
            <w:pPr>
              <w:jc w:val="left"/>
              <w:rPr>
                <w:rFonts w:ascii="宋体" w:hAnsi="宋体" w:eastAsia="宋体"/>
                <w:sz w:val="22"/>
              </w:rPr>
            </w:pPr>
            <w:r>
              <w:rPr>
                <w:rFonts w:hint="eastAsia" w:ascii="宋体" w:hAnsi="宋体" w:eastAsia="宋体"/>
                <w:sz w:val="22"/>
              </w:rPr>
              <w:t>同一时间段用户的网络接入占比等</w:t>
            </w:r>
          </w:p>
        </w:tc>
        <w:tc>
          <w:tcPr>
            <w:tcW w:w="1076" w:type="dxa"/>
            <w:shd w:val="clear" w:color="auto" w:fill="auto"/>
            <w:vAlign w:val="center"/>
          </w:tcPr>
          <w:p>
            <w:pPr>
              <w:widowControl/>
              <w:jc w:val="center"/>
              <w:rPr>
                <w:rFonts w:ascii="宋体" w:hAnsi="宋体" w:eastAsia="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5" w:hRule="atLeast"/>
          <w:jc w:val="center"/>
        </w:trPr>
        <w:tc>
          <w:tcPr>
            <w:tcW w:w="1418" w:type="dxa"/>
            <w:shd w:val="clear" w:color="auto" w:fill="auto"/>
            <w:vAlign w:val="center"/>
          </w:tcPr>
          <w:p>
            <w:pPr>
              <w:jc w:val="center"/>
              <w:rPr>
                <w:rFonts w:ascii="宋体" w:hAnsi="宋体" w:eastAsia="宋体"/>
                <w:b/>
                <w:bCs/>
                <w:sz w:val="22"/>
              </w:rPr>
            </w:pPr>
            <w:r>
              <w:rPr>
                <w:rFonts w:hint="eastAsia" w:ascii="宋体" w:hAnsi="宋体" w:eastAsia="宋体"/>
                <w:b/>
                <w:bCs/>
                <w:sz w:val="22"/>
              </w:rPr>
              <w:t>高可用</w:t>
            </w:r>
          </w:p>
        </w:tc>
        <w:tc>
          <w:tcPr>
            <w:tcW w:w="6578" w:type="dxa"/>
            <w:shd w:val="clear" w:color="auto" w:fill="auto"/>
            <w:vAlign w:val="center"/>
          </w:tcPr>
          <w:p>
            <w:pPr>
              <w:jc w:val="left"/>
              <w:rPr>
                <w:rFonts w:ascii="宋体" w:hAnsi="宋体" w:eastAsia="宋体"/>
                <w:b/>
                <w:bCs/>
                <w:sz w:val="22"/>
              </w:rPr>
            </w:pPr>
            <w:r>
              <w:rPr>
                <w:rFonts w:hint="eastAsia" w:ascii="宋体" w:hAnsi="宋体" w:eastAsia="宋体"/>
                <w:b/>
                <w:bCs/>
                <w:sz w:val="22"/>
              </w:rPr>
              <w:t>支持双机热备（</w:t>
            </w:r>
            <w:r>
              <w:rPr>
                <w:rFonts w:ascii="宋体" w:hAnsi="宋体" w:eastAsia="宋体"/>
                <w:b/>
                <w:bCs/>
                <w:sz w:val="22"/>
              </w:rPr>
              <w:t>Active-Standby</w:t>
            </w:r>
            <w:r>
              <w:rPr>
                <w:rFonts w:hint="eastAsia" w:ascii="宋体" w:hAnsi="宋体" w:eastAsia="宋体"/>
                <w:b/>
                <w:bCs/>
                <w:sz w:val="22"/>
              </w:rPr>
              <w:t>）、负载均衡（</w:t>
            </w:r>
            <w:r>
              <w:rPr>
                <w:rFonts w:ascii="宋体" w:hAnsi="宋体" w:eastAsia="宋体"/>
                <w:b/>
                <w:bCs/>
                <w:sz w:val="22"/>
              </w:rPr>
              <w:t>Active-Active</w:t>
            </w:r>
            <w:r>
              <w:rPr>
                <w:rFonts w:hint="eastAsia" w:ascii="宋体" w:hAnsi="宋体" w:eastAsia="宋体"/>
                <w:b/>
                <w:bCs/>
                <w:sz w:val="22"/>
              </w:rPr>
              <w:t>）、连接保护（</w:t>
            </w:r>
            <w:r>
              <w:rPr>
                <w:rFonts w:ascii="宋体" w:hAnsi="宋体" w:eastAsia="宋体"/>
                <w:b/>
                <w:bCs/>
                <w:sz w:val="22"/>
              </w:rPr>
              <w:t>Session Protect</w:t>
            </w:r>
            <w:r>
              <w:rPr>
                <w:rFonts w:hint="eastAsia" w:ascii="宋体" w:hAnsi="宋体" w:eastAsia="宋体"/>
                <w:b/>
                <w:bCs/>
                <w:sz w:val="22"/>
              </w:rPr>
              <w:t>）模式，支持系统故障自动切换和抢占功能；</w:t>
            </w:r>
            <w:r>
              <w:rPr>
                <w:rFonts w:ascii="宋体" w:hAnsi="宋体" w:eastAsia="宋体"/>
                <w:b/>
                <w:bCs/>
                <w:sz w:val="22"/>
              </w:rPr>
              <w:t xml:space="preserve"> </w:t>
            </w:r>
          </w:p>
        </w:tc>
        <w:tc>
          <w:tcPr>
            <w:tcW w:w="1076" w:type="dxa"/>
            <w:shd w:val="clear" w:color="auto" w:fill="auto"/>
            <w:vAlign w:val="center"/>
          </w:tcPr>
          <w:p>
            <w:pPr>
              <w:widowControl/>
              <w:jc w:val="center"/>
              <w:rPr>
                <w:rFonts w:ascii="宋体" w:hAnsi="宋体" w:eastAsia="宋体"/>
                <w:b/>
                <w:bCs/>
                <w:sz w:val="22"/>
              </w:rPr>
            </w:pPr>
            <w:r>
              <w:rPr>
                <w:rFonts w:hint="eastAsia" w:ascii="宋体" w:hAnsi="宋体" w:eastAsia="宋体"/>
                <w:b/>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418" w:type="dxa"/>
            <w:shd w:val="clear" w:color="auto" w:fill="auto"/>
            <w:vAlign w:val="bottom"/>
          </w:tcPr>
          <w:p>
            <w:pPr>
              <w:jc w:val="center"/>
              <w:rPr>
                <w:rFonts w:ascii="宋体" w:hAnsi="宋体" w:eastAsia="宋体"/>
                <w:sz w:val="22"/>
              </w:rPr>
            </w:pPr>
            <w:r>
              <w:rPr>
                <w:rFonts w:hint="eastAsia" w:ascii="宋体" w:hAnsi="宋体" w:eastAsia="宋体"/>
                <w:sz w:val="22"/>
              </w:rPr>
              <w:t>SSL VPN许可</w:t>
            </w:r>
          </w:p>
        </w:tc>
        <w:tc>
          <w:tcPr>
            <w:tcW w:w="6578" w:type="dxa"/>
            <w:shd w:val="clear" w:color="auto" w:fill="auto"/>
            <w:vAlign w:val="center"/>
          </w:tcPr>
          <w:p>
            <w:pPr>
              <w:jc w:val="center"/>
              <w:rPr>
                <w:rFonts w:ascii="宋体" w:hAnsi="宋体" w:eastAsia="宋体"/>
                <w:sz w:val="22"/>
              </w:rPr>
            </w:pPr>
            <w:r>
              <w:rPr>
                <w:rFonts w:hint="eastAsia" w:ascii="宋体" w:hAnsi="宋体" w:eastAsia="宋体"/>
                <w:sz w:val="22"/>
              </w:rPr>
              <w:t>100个SSL用户端许可</w:t>
            </w:r>
          </w:p>
        </w:tc>
        <w:tc>
          <w:tcPr>
            <w:tcW w:w="1076" w:type="dxa"/>
            <w:shd w:val="clear" w:color="auto" w:fill="auto"/>
            <w:vAlign w:val="center"/>
          </w:tcPr>
          <w:p>
            <w:pPr>
              <w:widowControl/>
              <w:jc w:val="center"/>
              <w:rPr>
                <w:rFonts w:ascii="宋体" w:hAnsi="宋体" w:eastAsia="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418" w:type="dxa"/>
            <w:shd w:val="clear" w:color="auto" w:fill="auto"/>
            <w:vAlign w:val="center"/>
          </w:tcPr>
          <w:p>
            <w:pPr>
              <w:jc w:val="center"/>
              <w:rPr>
                <w:rFonts w:ascii="宋体" w:hAnsi="宋体" w:eastAsia="宋体"/>
                <w:sz w:val="22"/>
              </w:rPr>
            </w:pPr>
            <w:r>
              <w:rPr>
                <w:rFonts w:hint="eastAsia" w:ascii="宋体" w:hAnsi="宋体" w:eastAsia="宋体"/>
                <w:sz w:val="22"/>
              </w:rPr>
              <w:t>服务要求</w:t>
            </w:r>
          </w:p>
        </w:tc>
        <w:tc>
          <w:tcPr>
            <w:tcW w:w="6578" w:type="dxa"/>
            <w:shd w:val="clear" w:color="auto" w:fill="auto"/>
            <w:vAlign w:val="center"/>
          </w:tcPr>
          <w:p>
            <w:pPr>
              <w:jc w:val="center"/>
              <w:rPr>
                <w:rFonts w:ascii="宋体" w:hAnsi="宋体" w:eastAsia="宋体"/>
                <w:sz w:val="22"/>
              </w:rPr>
            </w:pPr>
            <w:r>
              <w:rPr>
                <w:rFonts w:hint="eastAsia" w:ascii="宋体" w:hAnsi="宋体" w:eastAsia="宋体"/>
                <w:sz w:val="22"/>
              </w:rPr>
              <w:t>三年硬件保修及版本升级服务，三年原厂服务。</w:t>
            </w:r>
          </w:p>
        </w:tc>
        <w:tc>
          <w:tcPr>
            <w:tcW w:w="1076" w:type="dxa"/>
            <w:shd w:val="clear" w:color="auto" w:fill="auto"/>
            <w:vAlign w:val="center"/>
          </w:tcPr>
          <w:p>
            <w:pPr>
              <w:widowControl/>
              <w:jc w:val="center"/>
              <w:rPr>
                <w:rFonts w:ascii="宋体" w:hAnsi="宋体" w:eastAsia="宋体"/>
                <w:sz w:val="22"/>
              </w:rPr>
            </w:pPr>
          </w:p>
        </w:tc>
      </w:tr>
    </w:tbl>
    <w:p>
      <w:pPr>
        <w:rPr>
          <w:rFonts w:ascii="宋体" w:hAnsi="宋体" w:eastAsia="宋体"/>
        </w:rPr>
      </w:pPr>
    </w:p>
    <w:p>
      <w:pPr>
        <w:rPr>
          <w:rFonts w:ascii="宋体" w:hAnsi="宋体" w:eastAsia="宋体"/>
          <w:b/>
          <w:bCs/>
          <w:sz w:val="28"/>
          <w:szCs w:val="28"/>
        </w:rPr>
      </w:pPr>
      <w:r>
        <w:rPr>
          <w:rFonts w:hint="eastAsia" w:ascii="宋体" w:hAnsi="宋体" w:eastAsia="宋体"/>
          <w:b/>
          <w:bCs/>
          <w:sz w:val="28"/>
          <w:szCs w:val="28"/>
        </w:rPr>
        <w:t>2）网页防火墙</w:t>
      </w:r>
    </w:p>
    <w:tbl>
      <w:tblPr>
        <w:tblStyle w:val="30"/>
        <w:tblW w:w="90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7"/>
        <w:gridCol w:w="6628"/>
        <w:gridCol w:w="1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407" w:type="dxa"/>
            <w:shd w:val="clear" w:color="auto" w:fill="AEAAAA" w:themeFill="background2" w:themeFillShade="BF"/>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项目</w:t>
            </w:r>
          </w:p>
        </w:tc>
        <w:tc>
          <w:tcPr>
            <w:tcW w:w="6628" w:type="dxa"/>
            <w:shd w:val="clear" w:color="auto" w:fill="AEAAAA" w:themeFill="background2" w:themeFillShade="BF"/>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技术规格要求</w:t>
            </w:r>
          </w:p>
        </w:tc>
        <w:tc>
          <w:tcPr>
            <w:tcW w:w="1037" w:type="dxa"/>
            <w:shd w:val="clear" w:color="auto" w:fill="AEAAAA" w:themeFill="background2" w:themeFillShade="BF"/>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评审点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407" w:type="dxa"/>
            <w:vMerge w:val="restart"/>
            <w:vAlign w:val="center"/>
          </w:tcPr>
          <w:p>
            <w:pPr>
              <w:spacing w:line="276" w:lineRule="auto"/>
              <w:jc w:val="center"/>
              <w:rPr>
                <w:rFonts w:ascii="宋体" w:hAnsi="宋体" w:eastAsia="宋体"/>
                <w:sz w:val="22"/>
              </w:rPr>
            </w:pPr>
            <w:r>
              <w:rPr>
                <w:rFonts w:hint="eastAsia" w:ascii="宋体" w:hAnsi="宋体" w:eastAsia="宋体"/>
                <w:sz w:val="22"/>
              </w:rPr>
              <w:t>资质要求</w:t>
            </w:r>
          </w:p>
        </w:tc>
        <w:tc>
          <w:tcPr>
            <w:tcW w:w="6628" w:type="dxa"/>
            <w:vAlign w:val="center"/>
          </w:tcPr>
          <w:p>
            <w:pPr>
              <w:rPr>
                <w:rFonts w:ascii="宋体" w:hAnsi="宋体" w:eastAsia="宋体"/>
                <w:sz w:val="22"/>
              </w:rPr>
            </w:pPr>
            <w:r>
              <w:fldChar w:fldCharType="begin"/>
            </w:r>
            <w:r>
              <w:instrText xml:space="preserve"> HYPERLINK \l "_销售许可证" </w:instrText>
            </w:r>
            <w:r>
              <w:fldChar w:fldCharType="separate"/>
            </w:r>
            <w:r>
              <w:rPr>
                <w:rFonts w:hint="eastAsia" w:ascii="宋体" w:hAnsi="宋体" w:eastAsia="宋体"/>
                <w:sz w:val="22"/>
              </w:rPr>
              <w:t>产品需获得公安部产品销售许可证</w:t>
            </w:r>
            <w:r>
              <w:rPr>
                <w:rFonts w:hint="eastAsia" w:ascii="宋体" w:hAnsi="宋体" w:eastAsia="宋体"/>
                <w:sz w:val="22"/>
              </w:rPr>
              <w:fldChar w:fldCharType="end"/>
            </w:r>
          </w:p>
        </w:tc>
        <w:tc>
          <w:tcPr>
            <w:tcW w:w="1037" w:type="dxa"/>
            <w:vAlign w:val="center"/>
          </w:tcPr>
          <w:p>
            <w:pPr>
              <w:widowControl/>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407" w:type="dxa"/>
            <w:vMerge w:val="continue"/>
            <w:vAlign w:val="center"/>
          </w:tcPr>
          <w:p>
            <w:pPr>
              <w:spacing w:line="276" w:lineRule="auto"/>
              <w:jc w:val="center"/>
              <w:rPr>
                <w:rFonts w:ascii="宋体" w:hAnsi="宋体" w:eastAsia="宋体"/>
                <w:sz w:val="22"/>
              </w:rPr>
            </w:pPr>
          </w:p>
        </w:tc>
        <w:tc>
          <w:tcPr>
            <w:tcW w:w="6628" w:type="dxa"/>
            <w:vAlign w:val="center"/>
          </w:tcPr>
          <w:p>
            <w:pPr>
              <w:rPr>
                <w:rFonts w:ascii="宋体" w:hAnsi="宋体" w:eastAsia="宋体"/>
                <w:sz w:val="22"/>
              </w:rPr>
            </w:pPr>
            <w:r>
              <w:fldChar w:fldCharType="begin"/>
            </w:r>
            <w:r>
              <w:instrText xml:space="preserve"> HYPERLINK \l "_21、涉密资质" </w:instrText>
            </w:r>
            <w:r>
              <w:fldChar w:fldCharType="separate"/>
            </w:r>
            <w:r>
              <w:rPr>
                <w:rFonts w:hint="eastAsia" w:ascii="宋体" w:hAnsi="宋体" w:eastAsia="宋体"/>
                <w:sz w:val="22"/>
              </w:rPr>
              <w:t>产品需获得国家涉密产品资质证书</w:t>
            </w:r>
            <w:r>
              <w:rPr>
                <w:rFonts w:hint="eastAsia" w:ascii="宋体" w:hAnsi="宋体" w:eastAsia="宋体"/>
                <w:sz w:val="22"/>
              </w:rPr>
              <w:fldChar w:fldCharType="end"/>
            </w:r>
          </w:p>
        </w:tc>
        <w:tc>
          <w:tcPr>
            <w:tcW w:w="1037" w:type="dxa"/>
            <w:vAlign w:val="center"/>
          </w:tcPr>
          <w:p>
            <w:pPr>
              <w:widowControl/>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407" w:type="dxa"/>
            <w:vMerge w:val="continue"/>
            <w:vAlign w:val="center"/>
          </w:tcPr>
          <w:p>
            <w:pPr>
              <w:spacing w:line="276" w:lineRule="auto"/>
              <w:jc w:val="center"/>
              <w:rPr>
                <w:rFonts w:ascii="宋体" w:hAnsi="宋体" w:eastAsia="宋体"/>
                <w:sz w:val="22"/>
              </w:rPr>
            </w:pPr>
          </w:p>
        </w:tc>
        <w:tc>
          <w:tcPr>
            <w:tcW w:w="6628" w:type="dxa"/>
            <w:vAlign w:val="center"/>
          </w:tcPr>
          <w:p>
            <w:pPr>
              <w:rPr>
                <w:rFonts w:ascii="宋体" w:hAnsi="宋体" w:eastAsia="宋体"/>
                <w:sz w:val="22"/>
              </w:rPr>
            </w:pPr>
            <w:r>
              <w:rPr>
                <w:rFonts w:hint="eastAsia" w:ascii="宋体" w:hAnsi="宋体" w:eastAsia="宋体"/>
                <w:sz w:val="22"/>
              </w:rPr>
              <w:t>产品需获得国家信息安全测评中心颁发的信息技术产品安全测评证书</w:t>
            </w:r>
          </w:p>
        </w:tc>
        <w:tc>
          <w:tcPr>
            <w:tcW w:w="1037" w:type="dxa"/>
            <w:vAlign w:val="center"/>
          </w:tcPr>
          <w:p>
            <w:pPr>
              <w:widowControl/>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407" w:type="dxa"/>
            <w:vMerge w:val="continue"/>
            <w:vAlign w:val="center"/>
          </w:tcPr>
          <w:p>
            <w:pPr>
              <w:spacing w:line="276" w:lineRule="auto"/>
              <w:jc w:val="center"/>
              <w:rPr>
                <w:rFonts w:ascii="宋体" w:hAnsi="宋体" w:eastAsia="宋体"/>
                <w:sz w:val="22"/>
              </w:rPr>
            </w:pPr>
          </w:p>
        </w:tc>
        <w:tc>
          <w:tcPr>
            <w:tcW w:w="6628" w:type="dxa"/>
            <w:vAlign w:val="center"/>
          </w:tcPr>
          <w:p>
            <w:pPr>
              <w:rPr>
                <w:rFonts w:ascii="宋体" w:hAnsi="宋体" w:eastAsia="宋体"/>
                <w:sz w:val="22"/>
              </w:rPr>
            </w:pPr>
            <w:r>
              <w:rPr>
                <w:rFonts w:hint="eastAsia" w:ascii="宋体" w:hAnsi="宋体" w:eastAsia="宋体"/>
                <w:sz w:val="22"/>
              </w:rPr>
              <w:t>产品需获得《网络关键设备和网络安全专用产品安全认证证书》</w:t>
            </w:r>
          </w:p>
        </w:tc>
        <w:tc>
          <w:tcPr>
            <w:tcW w:w="1037" w:type="dxa"/>
            <w:vAlign w:val="center"/>
          </w:tcPr>
          <w:p>
            <w:pPr>
              <w:widowControl/>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407" w:type="dxa"/>
            <w:vMerge w:val="continue"/>
            <w:vAlign w:val="center"/>
          </w:tcPr>
          <w:p>
            <w:pPr>
              <w:adjustRightInd w:val="0"/>
              <w:snapToGrid w:val="0"/>
              <w:jc w:val="center"/>
              <w:rPr>
                <w:rFonts w:ascii="宋体" w:hAnsi="宋体" w:eastAsia="宋体" w:cs="Arial"/>
                <w:sz w:val="22"/>
              </w:rPr>
            </w:pPr>
          </w:p>
        </w:tc>
        <w:tc>
          <w:tcPr>
            <w:tcW w:w="6628" w:type="dxa"/>
            <w:vAlign w:val="center"/>
          </w:tcPr>
          <w:p>
            <w:pPr>
              <w:rPr>
                <w:rFonts w:ascii="宋体" w:hAnsi="宋体" w:eastAsia="宋体"/>
                <w:b/>
                <w:bCs/>
                <w:sz w:val="22"/>
              </w:rPr>
            </w:pPr>
            <w:r>
              <w:rPr>
                <w:rFonts w:hint="eastAsia" w:ascii="宋体" w:hAnsi="宋体" w:eastAsia="宋体"/>
                <w:b/>
                <w:bCs/>
                <w:sz w:val="22"/>
              </w:rPr>
              <w:t>产品需获得IPv</w:t>
            </w:r>
            <w:r>
              <w:rPr>
                <w:rFonts w:ascii="宋体" w:hAnsi="宋体" w:eastAsia="宋体"/>
                <w:b/>
                <w:bCs/>
                <w:sz w:val="22"/>
              </w:rPr>
              <w:t>6</w:t>
            </w:r>
            <w:r>
              <w:rPr>
                <w:rFonts w:hint="eastAsia" w:ascii="宋体" w:hAnsi="宋体" w:eastAsia="宋体"/>
                <w:b/>
                <w:bCs/>
                <w:sz w:val="22"/>
              </w:rPr>
              <w:t>金牌认证证书</w:t>
            </w:r>
          </w:p>
        </w:tc>
        <w:tc>
          <w:tcPr>
            <w:tcW w:w="1037" w:type="dxa"/>
            <w:vAlign w:val="center"/>
          </w:tcPr>
          <w:p>
            <w:pPr>
              <w:widowControl/>
              <w:jc w:val="center"/>
              <w:rPr>
                <w:rFonts w:ascii="宋体" w:hAnsi="宋体" w:eastAsia="宋体" w:cs="宋体"/>
                <w:b/>
                <w:bCs/>
                <w:color w:val="000000"/>
                <w:kern w:val="0"/>
                <w:sz w:val="22"/>
              </w:rPr>
            </w:pPr>
            <w:r>
              <w:rPr>
                <w:rFonts w:hint="eastAsia" w:ascii="宋体" w:hAnsi="宋体" w:eastAsia="宋体"/>
                <w:b/>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407" w:type="dxa"/>
            <w:vMerge w:val="continue"/>
            <w:vAlign w:val="center"/>
          </w:tcPr>
          <w:p>
            <w:pPr>
              <w:adjustRightInd w:val="0"/>
              <w:snapToGrid w:val="0"/>
              <w:jc w:val="center"/>
              <w:rPr>
                <w:rFonts w:ascii="宋体" w:hAnsi="宋体" w:eastAsia="宋体" w:cs="Arial"/>
                <w:sz w:val="22"/>
              </w:rPr>
            </w:pPr>
          </w:p>
        </w:tc>
        <w:tc>
          <w:tcPr>
            <w:tcW w:w="6628" w:type="dxa"/>
            <w:vAlign w:val="center"/>
          </w:tcPr>
          <w:p>
            <w:pPr>
              <w:rPr>
                <w:rFonts w:ascii="宋体" w:hAnsi="宋体" w:eastAsia="宋体"/>
                <w:sz w:val="22"/>
              </w:rPr>
            </w:pPr>
            <w:r>
              <w:rPr>
                <w:rFonts w:hint="eastAsia" w:ascii="宋体" w:hAnsi="宋体" w:eastAsia="宋体"/>
                <w:sz w:val="22"/>
              </w:rPr>
              <w:t>产品必须为市场占有率前三品牌，需提供国外权威第三方分析机构WAF产品市场分析报告</w:t>
            </w:r>
          </w:p>
        </w:tc>
        <w:tc>
          <w:tcPr>
            <w:tcW w:w="1037" w:type="dxa"/>
            <w:vAlign w:val="center"/>
          </w:tcPr>
          <w:p>
            <w:pPr>
              <w:widowControl/>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407" w:type="dxa"/>
            <w:vMerge w:val="continue"/>
            <w:vAlign w:val="center"/>
          </w:tcPr>
          <w:p>
            <w:pPr>
              <w:widowControl/>
              <w:jc w:val="center"/>
              <w:rPr>
                <w:rFonts w:ascii="宋体" w:hAnsi="宋体" w:eastAsia="宋体" w:cs="宋体"/>
                <w:color w:val="000000"/>
                <w:kern w:val="0"/>
                <w:sz w:val="22"/>
              </w:rPr>
            </w:pPr>
          </w:p>
        </w:tc>
        <w:tc>
          <w:tcPr>
            <w:tcW w:w="6628" w:type="dxa"/>
            <w:vAlign w:val="center"/>
          </w:tcPr>
          <w:p>
            <w:pPr>
              <w:rPr>
                <w:rFonts w:ascii="宋体" w:hAnsi="宋体" w:eastAsia="宋体"/>
                <w:sz w:val="22"/>
              </w:rPr>
            </w:pPr>
            <w:r>
              <w:rPr>
                <w:rFonts w:hint="eastAsia" w:ascii="宋体" w:hAnsi="宋体" w:eastAsia="宋体"/>
                <w:sz w:val="22"/>
              </w:rPr>
              <w:t>原厂商具有软件能力成熟度模型集成C</w:t>
            </w:r>
            <w:r>
              <w:rPr>
                <w:rFonts w:ascii="宋体" w:hAnsi="宋体" w:eastAsia="宋体"/>
                <w:sz w:val="22"/>
              </w:rPr>
              <w:t>MMI5</w:t>
            </w:r>
            <w:r>
              <w:rPr>
                <w:rFonts w:hint="eastAsia" w:ascii="宋体" w:hAnsi="宋体" w:eastAsia="宋体"/>
                <w:sz w:val="22"/>
              </w:rPr>
              <w:t>认证</w:t>
            </w:r>
          </w:p>
        </w:tc>
        <w:tc>
          <w:tcPr>
            <w:tcW w:w="1037" w:type="dxa"/>
            <w:vAlign w:val="center"/>
          </w:tcPr>
          <w:p>
            <w:pPr>
              <w:widowControl/>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407" w:type="dxa"/>
            <w:vMerge w:val="restart"/>
            <w:vAlign w:val="center"/>
          </w:tcPr>
          <w:p>
            <w:pPr>
              <w:adjustRightInd w:val="0"/>
              <w:snapToGrid w:val="0"/>
              <w:jc w:val="center"/>
              <w:rPr>
                <w:rFonts w:ascii="宋体" w:hAnsi="宋体" w:eastAsia="宋体" w:cs="Arial"/>
                <w:sz w:val="22"/>
              </w:rPr>
            </w:pPr>
            <w:r>
              <w:rPr>
                <w:rFonts w:hint="eastAsia" w:ascii="宋体" w:hAnsi="宋体" w:eastAsia="宋体"/>
                <w:sz w:val="22"/>
              </w:rPr>
              <w:t>硬件规格</w:t>
            </w:r>
          </w:p>
        </w:tc>
        <w:tc>
          <w:tcPr>
            <w:tcW w:w="6628" w:type="dxa"/>
            <w:vAlign w:val="center"/>
          </w:tcPr>
          <w:p>
            <w:pPr>
              <w:spacing w:line="276" w:lineRule="auto"/>
              <w:rPr>
                <w:rFonts w:ascii="宋体" w:hAnsi="宋体" w:eastAsia="宋体"/>
                <w:sz w:val="22"/>
              </w:rPr>
            </w:pPr>
            <w:r>
              <w:rPr>
                <w:rFonts w:hint="eastAsia" w:ascii="宋体" w:hAnsi="宋体" w:eastAsia="宋体"/>
                <w:sz w:val="22"/>
              </w:rPr>
              <w:t>产品必须为专业性</w:t>
            </w:r>
            <w:r>
              <w:rPr>
                <w:rFonts w:ascii="宋体" w:hAnsi="宋体" w:eastAsia="宋体"/>
                <w:sz w:val="22"/>
              </w:rPr>
              <w:t>WEB</w:t>
            </w:r>
            <w:r>
              <w:rPr>
                <w:rFonts w:hint="eastAsia" w:ascii="宋体" w:hAnsi="宋体" w:eastAsia="宋体"/>
                <w:sz w:val="22"/>
              </w:rPr>
              <w:t>应用防火墙设备及专业性</w:t>
            </w:r>
            <w:r>
              <w:rPr>
                <w:rFonts w:ascii="宋体" w:hAnsi="宋体" w:eastAsia="宋体"/>
                <w:sz w:val="22"/>
              </w:rPr>
              <w:t>WEB</w:t>
            </w:r>
            <w:r>
              <w:rPr>
                <w:rFonts w:hint="eastAsia" w:ascii="宋体" w:hAnsi="宋体" w:eastAsia="宋体"/>
                <w:sz w:val="22"/>
              </w:rPr>
              <w:t>应用防火墙资质，而非</w:t>
            </w:r>
            <w:r>
              <w:rPr>
                <w:rFonts w:ascii="宋体" w:hAnsi="宋体" w:eastAsia="宋体"/>
                <w:sz w:val="22"/>
              </w:rPr>
              <w:t>NGAF</w:t>
            </w:r>
            <w:r>
              <w:rPr>
                <w:rFonts w:hint="eastAsia" w:ascii="宋体" w:hAnsi="宋体" w:eastAsia="宋体"/>
                <w:sz w:val="22"/>
              </w:rPr>
              <w:t>、</w:t>
            </w:r>
            <w:r>
              <w:rPr>
                <w:rFonts w:ascii="宋体" w:hAnsi="宋体" w:eastAsia="宋体"/>
                <w:sz w:val="22"/>
              </w:rPr>
              <w:t>NGFW</w:t>
            </w:r>
            <w:r>
              <w:rPr>
                <w:rFonts w:hint="eastAsia" w:ascii="宋体" w:hAnsi="宋体" w:eastAsia="宋体"/>
                <w:sz w:val="22"/>
              </w:rPr>
              <w:t>、</w:t>
            </w:r>
            <w:r>
              <w:rPr>
                <w:rFonts w:ascii="宋体" w:hAnsi="宋体" w:eastAsia="宋体"/>
                <w:sz w:val="22"/>
              </w:rPr>
              <w:t>UTM</w:t>
            </w:r>
            <w:r>
              <w:rPr>
                <w:rFonts w:hint="eastAsia" w:ascii="宋体" w:hAnsi="宋体" w:eastAsia="宋体"/>
                <w:sz w:val="22"/>
              </w:rPr>
              <w:t>设备及资质</w:t>
            </w:r>
          </w:p>
        </w:tc>
        <w:tc>
          <w:tcPr>
            <w:tcW w:w="1037" w:type="dxa"/>
            <w:vAlign w:val="center"/>
          </w:tcPr>
          <w:p>
            <w:pPr>
              <w:widowControl/>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407" w:type="dxa"/>
            <w:vMerge w:val="continue"/>
            <w:vAlign w:val="center"/>
          </w:tcPr>
          <w:p>
            <w:pPr>
              <w:adjustRightInd w:val="0"/>
              <w:snapToGrid w:val="0"/>
              <w:jc w:val="center"/>
              <w:rPr>
                <w:rFonts w:ascii="宋体" w:hAnsi="宋体" w:eastAsia="宋体" w:cs="Arial"/>
                <w:sz w:val="22"/>
              </w:rPr>
            </w:pPr>
          </w:p>
        </w:tc>
        <w:tc>
          <w:tcPr>
            <w:tcW w:w="6628" w:type="dxa"/>
            <w:vAlign w:val="center"/>
          </w:tcPr>
          <w:p>
            <w:pPr>
              <w:spacing w:line="276" w:lineRule="auto"/>
              <w:rPr>
                <w:rFonts w:ascii="宋体" w:hAnsi="宋体" w:eastAsia="宋体"/>
                <w:sz w:val="22"/>
              </w:rPr>
            </w:pPr>
            <w:r>
              <w:rPr>
                <w:rFonts w:hint="eastAsia" w:ascii="宋体" w:hAnsi="宋体" w:eastAsia="宋体" w:cs="宋体"/>
                <w:color w:val="000000"/>
                <w:sz w:val="22"/>
              </w:rPr>
              <w:t>标配2千兆电口管理口，千兆业务电口*4（含2组硬件BYPASS模块），千兆业务光口*4</w:t>
            </w:r>
          </w:p>
        </w:tc>
        <w:tc>
          <w:tcPr>
            <w:tcW w:w="1037" w:type="dxa"/>
            <w:vAlign w:val="center"/>
          </w:tcPr>
          <w:p>
            <w:pPr>
              <w:widowControl/>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407" w:type="dxa"/>
            <w:vMerge w:val="continue"/>
            <w:vAlign w:val="center"/>
          </w:tcPr>
          <w:p>
            <w:pPr>
              <w:adjustRightInd w:val="0"/>
              <w:snapToGrid w:val="0"/>
              <w:jc w:val="center"/>
              <w:rPr>
                <w:rFonts w:ascii="宋体" w:hAnsi="宋体" w:eastAsia="宋体" w:cs="Arial"/>
                <w:sz w:val="22"/>
              </w:rPr>
            </w:pPr>
          </w:p>
        </w:tc>
        <w:tc>
          <w:tcPr>
            <w:tcW w:w="6628" w:type="dxa"/>
            <w:vAlign w:val="center"/>
          </w:tcPr>
          <w:p>
            <w:pPr>
              <w:adjustRightInd w:val="0"/>
              <w:snapToGrid w:val="0"/>
              <w:rPr>
                <w:rFonts w:ascii="宋体" w:hAnsi="宋体" w:eastAsia="宋体" w:cs="Arial"/>
                <w:sz w:val="22"/>
              </w:rPr>
            </w:pPr>
            <w:r>
              <w:rPr>
                <w:rFonts w:hint="eastAsia" w:ascii="宋体" w:hAnsi="宋体" w:eastAsia="宋体" w:cs="Arial"/>
                <w:sz w:val="22"/>
              </w:rPr>
              <w:t>网络层吞吐率≥6G；</w:t>
            </w:r>
          </w:p>
          <w:p>
            <w:pPr>
              <w:adjustRightInd w:val="0"/>
              <w:snapToGrid w:val="0"/>
              <w:rPr>
                <w:rFonts w:ascii="宋体" w:hAnsi="宋体" w:eastAsia="宋体" w:cs="Arial"/>
                <w:sz w:val="22"/>
              </w:rPr>
            </w:pPr>
            <w:r>
              <w:rPr>
                <w:rFonts w:hint="eastAsia" w:ascii="宋体" w:hAnsi="宋体" w:eastAsia="宋体" w:cs="Arial"/>
                <w:sz w:val="22"/>
              </w:rPr>
              <w:t>最大并发HTTP连接数≥35万；</w:t>
            </w:r>
          </w:p>
          <w:p>
            <w:pPr>
              <w:adjustRightInd w:val="0"/>
              <w:snapToGrid w:val="0"/>
              <w:rPr>
                <w:rFonts w:ascii="宋体" w:hAnsi="宋体" w:eastAsia="宋体" w:cs="Arial"/>
                <w:sz w:val="22"/>
              </w:rPr>
            </w:pPr>
            <w:r>
              <w:rPr>
                <w:rFonts w:hint="eastAsia" w:ascii="宋体" w:hAnsi="宋体" w:eastAsia="宋体" w:cs="Arial"/>
                <w:sz w:val="22"/>
              </w:rPr>
              <w:t>每秒新建HTTP连接数≥3.2万</w:t>
            </w:r>
          </w:p>
        </w:tc>
        <w:tc>
          <w:tcPr>
            <w:tcW w:w="1037" w:type="dxa"/>
            <w:vAlign w:val="center"/>
          </w:tcPr>
          <w:p>
            <w:pPr>
              <w:widowControl/>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407" w:type="dxa"/>
            <w:vAlign w:val="center"/>
          </w:tcPr>
          <w:p>
            <w:pPr>
              <w:spacing w:line="276" w:lineRule="auto"/>
              <w:jc w:val="center"/>
              <w:rPr>
                <w:rFonts w:ascii="宋体" w:hAnsi="宋体" w:eastAsia="宋体"/>
                <w:sz w:val="22"/>
              </w:rPr>
            </w:pPr>
            <w:r>
              <w:rPr>
                <w:rFonts w:hint="eastAsia" w:ascii="宋体" w:hAnsi="宋体" w:eastAsia="宋体"/>
                <w:sz w:val="22"/>
              </w:rPr>
              <w:t>部署模式</w:t>
            </w:r>
          </w:p>
        </w:tc>
        <w:tc>
          <w:tcPr>
            <w:tcW w:w="6628" w:type="dxa"/>
            <w:vAlign w:val="center"/>
          </w:tcPr>
          <w:p>
            <w:pPr>
              <w:spacing w:line="276" w:lineRule="auto"/>
              <w:rPr>
                <w:rFonts w:ascii="宋体" w:hAnsi="宋体" w:eastAsia="宋体"/>
                <w:sz w:val="22"/>
              </w:rPr>
            </w:pPr>
            <w:r>
              <w:rPr>
                <w:rFonts w:hint="eastAsia" w:ascii="宋体" w:hAnsi="宋体" w:eastAsia="宋体"/>
                <w:sz w:val="22"/>
              </w:rPr>
              <w:t>支持透明串接、反向代理、旁路引流部署、旁路镜像审计部署</w:t>
            </w:r>
          </w:p>
        </w:tc>
        <w:tc>
          <w:tcPr>
            <w:tcW w:w="1037" w:type="dxa"/>
            <w:vAlign w:val="center"/>
          </w:tcPr>
          <w:p>
            <w:pPr>
              <w:widowControl/>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407" w:type="dxa"/>
            <w:vAlign w:val="center"/>
          </w:tcPr>
          <w:p>
            <w:pPr>
              <w:spacing w:line="276" w:lineRule="auto"/>
              <w:jc w:val="center"/>
              <w:rPr>
                <w:rFonts w:ascii="宋体" w:hAnsi="宋体" w:eastAsia="宋体"/>
                <w:sz w:val="22"/>
              </w:rPr>
            </w:pPr>
            <w:r>
              <w:rPr>
                <w:rFonts w:hint="eastAsia" w:ascii="宋体" w:hAnsi="宋体" w:eastAsia="宋体"/>
                <w:sz w:val="22"/>
              </w:rPr>
              <w:t>高可用</w:t>
            </w:r>
          </w:p>
        </w:tc>
        <w:tc>
          <w:tcPr>
            <w:tcW w:w="6628" w:type="dxa"/>
            <w:vAlign w:val="center"/>
          </w:tcPr>
          <w:p>
            <w:pPr>
              <w:spacing w:line="276" w:lineRule="auto"/>
              <w:rPr>
                <w:rFonts w:ascii="宋体" w:hAnsi="宋体" w:eastAsia="宋体"/>
                <w:sz w:val="22"/>
              </w:rPr>
            </w:pPr>
            <w:r>
              <w:rPr>
                <w:rFonts w:hint="eastAsia" w:ascii="宋体" w:hAnsi="宋体" w:eastAsia="宋体" w:cs="Tahoma"/>
                <w:sz w:val="22"/>
              </w:rPr>
              <w:t>支持集群模式、主</w:t>
            </w:r>
            <w:r>
              <w:rPr>
                <w:rFonts w:ascii="宋体" w:hAnsi="宋体" w:eastAsia="宋体" w:cs="Tahoma"/>
                <w:sz w:val="22"/>
              </w:rPr>
              <w:t>-</w:t>
            </w:r>
            <w:r>
              <w:rPr>
                <w:rFonts w:hint="eastAsia" w:ascii="宋体" w:hAnsi="宋体" w:eastAsia="宋体" w:cs="Tahoma"/>
                <w:sz w:val="22"/>
              </w:rPr>
              <w:t>主模式、主备模式、硬件</w:t>
            </w:r>
            <w:r>
              <w:rPr>
                <w:rFonts w:ascii="宋体" w:hAnsi="宋体" w:eastAsia="宋体" w:cs="Tahoma"/>
                <w:sz w:val="22"/>
              </w:rPr>
              <w:t>BYPASS</w:t>
            </w:r>
            <w:r>
              <w:rPr>
                <w:rFonts w:hint="eastAsia" w:ascii="宋体" w:hAnsi="宋体" w:eastAsia="宋体" w:cs="Tahoma"/>
                <w:sz w:val="22"/>
              </w:rPr>
              <w:t>、软件</w:t>
            </w:r>
            <w:r>
              <w:rPr>
                <w:rFonts w:ascii="宋体" w:hAnsi="宋体" w:eastAsia="宋体" w:cs="Tahoma"/>
                <w:sz w:val="22"/>
              </w:rPr>
              <w:t>BYPASS</w:t>
            </w:r>
          </w:p>
        </w:tc>
        <w:tc>
          <w:tcPr>
            <w:tcW w:w="1037" w:type="dxa"/>
            <w:vAlign w:val="center"/>
          </w:tcPr>
          <w:p>
            <w:pPr>
              <w:widowControl/>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407" w:type="dxa"/>
            <w:vMerge w:val="restart"/>
            <w:vAlign w:val="center"/>
          </w:tcPr>
          <w:p>
            <w:pPr>
              <w:spacing w:line="276" w:lineRule="auto"/>
              <w:jc w:val="center"/>
              <w:rPr>
                <w:rFonts w:ascii="宋体" w:hAnsi="宋体" w:eastAsia="宋体"/>
                <w:sz w:val="22"/>
              </w:rPr>
            </w:pPr>
            <w:r>
              <w:rPr>
                <w:rFonts w:hint="eastAsia" w:ascii="宋体" w:hAnsi="宋体" w:eastAsia="宋体"/>
                <w:sz w:val="22"/>
              </w:rPr>
              <w:t>保护对象</w:t>
            </w:r>
          </w:p>
        </w:tc>
        <w:tc>
          <w:tcPr>
            <w:tcW w:w="6628" w:type="dxa"/>
            <w:vAlign w:val="center"/>
          </w:tcPr>
          <w:p>
            <w:pPr>
              <w:spacing w:line="276" w:lineRule="auto"/>
              <w:rPr>
                <w:rFonts w:ascii="宋体" w:hAnsi="宋体" w:eastAsia="宋体"/>
                <w:sz w:val="22"/>
              </w:rPr>
            </w:pPr>
            <w:r>
              <w:rPr>
                <w:rFonts w:hint="eastAsia" w:ascii="宋体" w:hAnsi="宋体" w:eastAsia="宋体" w:cs="Tahoma"/>
                <w:sz w:val="22"/>
              </w:rPr>
              <w:t>支持多条链路数据的防护，防护网段数量不限</w:t>
            </w:r>
          </w:p>
        </w:tc>
        <w:tc>
          <w:tcPr>
            <w:tcW w:w="1037" w:type="dxa"/>
            <w:vAlign w:val="center"/>
          </w:tcPr>
          <w:p>
            <w:pPr>
              <w:widowControl/>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407" w:type="dxa"/>
            <w:vMerge w:val="continue"/>
            <w:vAlign w:val="center"/>
          </w:tcPr>
          <w:p>
            <w:pPr>
              <w:spacing w:line="276" w:lineRule="auto"/>
              <w:jc w:val="center"/>
              <w:rPr>
                <w:rFonts w:ascii="宋体" w:hAnsi="宋体" w:eastAsia="宋体"/>
                <w:sz w:val="22"/>
              </w:rPr>
            </w:pPr>
          </w:p>
        </w:tc>
        <w:tc>
          <w:tcPr>
            <w:tcW w:w="6628" w:type="dxa"/>
            <w:vAlign w:val="center"/>
          </w:tcPr>
          <w:p>
            <w:pPr>
              <w:adjustRightInd w:val="0"/>
              <w:snapToGrid w:val="0"/>
              <w:rPr>
                <w:rFonts w:ascii="宋体" w:hAnsi="宋体" w:eastAsia="宋体" w:cs="Arial"/>
                <w:b/>
                <w:bCs/>
                <w:sz w:val="22"/>
              </w:rPr>
            </w:pPr>
            <w:r>
              <w:rPr>
                <w:rFonts w:hint="eastAsia" w:ascii="宋体" w:hAnsi="宋体" w:eastAsia="宋体" w:cs="Tahoma"/>
                <w:b/>
                <w:bCs/>
                <w:sz w:val="22"/>
              </w:rPr>
              <w:t>支持保护站点快速向导配置部署，提供界面截图</w:t>
            </w:r>
          </w:p>
        </w:tc>
        <w:tc>
          <w:tcPr>
            <w:tcW w:w="1037" w:type="dxa"/>
            <w:vAlign w:val="center"/>
          </w:tcPr>
          <w:p>
            <w:pPr>
              <w:widowControl/>
              <w:jc w:val="center"/>
              <w:rPr>
                <w:rFonts w:ascii="宋体" w:hAnsi="宋体" w:eastAsia="宋体" w:cs="宋体"/>
                <w:b/>
                <w:bCs/>
                <w:color w:val="000000"/>
                <w:kern w:val="0"/>
                <w:sz w:val="22"/>
              </w:rPr>
            </w:pPr>
            <w:r>
              <w:rPr>
                <w:rFonts w:hint="eastAsia" w:ascii="宋体" w:hAnsi="宋体" w:eastAsia="宋体"/>
                <w:b/>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407" w:type="dxa"/>
            <w:vAlign w:val="center"/>
          </w:tcPr>
          <w:p>
            <w:pPr>
              <w:adjustRightInd w:val="0"/>
              <w:snapToGrid w:val="0"/>
              <w:jc w:val="center"/>
              <w:rPr>
                <w:rFonts w:ascii="宋体" w:hAnsi="宋体" w:eastAsia="宋体" w:cs="Arial"/>
                <w:sz w:val="22"/>
              </w:rPr>
            </w:pPr>
            <w:r>
              <w:rPr>
                <w:rFonts w:hint="eastAsia" w:ascii="宋体" w:hAnsi="宋体" w:eastAsia="宋体" w:cs="Arial"/>
                <w:sz w:val="22"/>
              </w:rPr>
              <w:t>Web服务自发现</w:t>
            </w:r>
          </w:p>
        </w:tc>
        <w:tc>
          <w:tcPr>
            <w:tcW w:w="6628" w:type="dxa"/>
            <w:vAlign w:val="center"/>
          </w:tcPr>
          <w:p>
            <w:pPr>
              <w:adjustRightInd w:val="0"/>
              <w:snapToGrid w:val="0"/>
              <w:rPr>
                <w:rFonts w:ascii="宋体" w:hAnsi="宋体" w:eastAsia="宋体" w:cs="Arial"/>
                <w:sz w:val="22"/>
              </w:rPr>
            </w:pPr>
            <w:r>
              <w:rPr>
                <w:rFonts w:hint="eastAsia" w:ascii="宋体" w:hAnsi="宋体" w:eastAsia="宋体" w:cs="Arial"/>
                <w:sz w:val="22"/>
              </w:rPr>
              <w:t>支持自动发现现网环境中存在的Web业务系统，记录服务器的IP、Port、域名等信息</w:t>
            </w:r>
          </w:p>
        </w:tc>
        <w:tc>
          <w:tcPr>
            <w:tcW w:w="1037" w:type="dxa"/>
            <w:vAlign w:val="center"/>
          </w:tcPr>
          <w:p>
            <w:pPr>
              <w:widowControl/>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407" w:type="dxa"/>
            <w:vAlign w:val="center"/>
          </w:tcPr>
          <w:p>
            <w:pPr>
              <w:adjustRightInd w:val="0"/>
              <w:snapToGrid w:val="0"/>
              <w:jc w:val="center"/>
              <w:rPr>
                <w:rFonts w:ascii="宋体" w:hAnsi="宋体" w:eastAsia="宋体" w:cs="Arial"/>
                <w:sz w:val="22"/>
              </w:rPr>
            </w:pPr>
            <w:r>
              <w:rPr>
                <w:rFonts w:hint="eastAsia" w:ascii="宋体" w:hAnsi="宋体" w:eastAsia="宋体" w:cs="Arial"/>
                <w:sz w:val="22"/>
              </w:rPr>
              <w:t>HTTPS防护</w:t>
            </w:r>
          </w:p>
        </w:tc>
        <w:tc>
          <w:tcPr>
            <w:tcW w:w="6628" w:type="dxa"/>
            <w:vAlign w:val="center"/>
          </w:tcPr>
          <w:p>
            <w:pPr>
              <w:adjustRightInd w:val="0"/>
              <w:snapToGrid w:val="0"/>
              <w:rPr>
                <w:rFonts w:ascii="宋体" w:hAnsi="宋体" w:eastAsia="宋体" w:cs="Arial"/>
                <w:sz w:val="22"/>
              </w:rPr>
            </w:pPr>
            <w:r>
              <w:rPr>
                <w:rFonts w:hint="eastAsia" w:ascii="宋体" w:hAnsi="宋体" w:eastAsia="宋体" w:cs="宋体"/>
                <w:sz w:val="22"/>
              </w:rPr>
              <w:t>置SSL硬件加速卡，实现对HTTPS的加解密，提供设备对HTTPS的处理性能，</w:t>
            </w:r>
            <w:r>
              <w:rPr>
                <w:rFonts w:hint="eastAsia" w:ascii="宋体" w:hAnsi="宋体" w:eastAsia="宋体" w:cs="Tahoma"/>
                <w:sz w:val="22"/>
              </w:rPr>
              <w:t>提供界面截图和设备外观截图</w:t>
            </w:r>
          </w:p>
        </w:tc>
        <w:tc>
          <w:tcPr>
            <w:tcW w:w="1037" w:type="dxa"/>
            <w:vAlign w:val="center"/>
          </w:tcPr>
          <w:p>
            <w:pPr>
              <w:widowControl/>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407" w:type="dxa"/>
            <w:vAlign w:val="center"/>
          </w:tcPr>
          <w:p>
            <w:pPr>
              <w:adjustRightInd w:val="0"/>
              <w:snapToGrid w:val="0"/>
              <w:jc w:val="center"/>
              <w:rPr>
                <w:rFonts w:ascii="宋体" w:hAnsi="宋体" w:eastAsia="宋体" w:cs="Arial"/>
                <w:sz w:val="22"/>
              </w:rPr>
            </w:pPr>
            <w:r>
              <w:rPr>
                <w:rFonts w:hint="eastAsia" w:ascii="宋体" w:hAnsi="宋体" w:eastAsia="宋体" w:cs="Arial"/>
                <w:sz w:val="22"/>
              </w:rPr>
              <w:t>攻击检测</w:t>
            </w:r>
          </w:p>
        </w:tc>
        <w:tc>
          <w:tcPr>
            <w:tcW w:w="6628" w:type="dxa"/>
            <w:vAlign w:val="center"/>
          </w:tcPr>
          <w:p>
            <w:pPr>
              <w:adjustRightInd w:val="0"/>
              <w:snapToGrid w:val="0"/>
              <w:rPr>
                <w:rFonts w:ascii="宋体" w:hAnsi="宋体" w:eastAsia="宋体" w:cs="Arial"/>
                <w:sz w:val="22"/>
              </w:rPr>
            </w:pPr>
            <w:r>
              <w:rPr>
                <w:rFonts w:hint="eastAsia" w:ascii="宋体" w:hAnsi="宋体" w:eastAsia="宋体" w:cs="Tahoma"/>
                <w:sz w:val="22"/>
              </w:rPr>
              <w:t>能够识别恶意请求含：跨站脚本</w:t>
            </w:r>
            <w:r>
              <w:rPr>
                <w:rFonts w:ascii="宋体" w:hAnsi="宋体" w:eastAsia="宋体" w:cs="Tahoma"/>
                <w:sz w:val="22"/>
              </w:rPr>
              <w:t>(XSS)</w:t>
            </w:r>
            <w:r>
              <w:rPr>
                <w:rFonts w:hint="eastAsia" w:ascii="宋体" w:hAnsi="宋体" w:eastAsia="宋体" w:cs="Tahoma"/>
                <w:sz w:val="22"/>
              </w:rPr>
              <w:t>、注入式攻击（包括</w:t>
            </w:r>
            <w:r>
              <w:rPr>
                <w:rFonts w:ascii="宋体" w:hAnsi="宋体" w:eastAsia="宋体" w:cs="Tahoma"/>
                <w:sz w:val="22"/>
              </w:rPr>
              <w:t>SQL</w:t>
            </w:r>
            <w:r>
              <w:rPr>
                <w:rFonts w:hint="eastAsia" w:ascii="宋体" w:hAnsi="宋体" w:eastAsia="宋体" w:cs="Tahoma"/>
                <w:sz w:val="22"/>
              </w:rPr>
              <w:t>注入、命令注入</w:t>
            </w:r>
            <w:r>
              <w:rPr>
                <w:rFonts w:ascii="宋体" w:hAnsi="宋体" w:eastAsia="宋体" w:cs="Tahoma"/>
                <w:sz w:val="22"/>
              </w:rPr>
              <w:t xml:space="preserve"> </w:t>
            </w:r>
            <w:r>
              <w:rPr>
                <w:rFonts w:hint="eastAsia" w:ascii="宋体" w:hAnsi="宋体" w:eastAsia="宋体" w:cs="Tahoma"/>
                <w:sz w:val="22"/>
              </w:rPr>
              <w:t>、</w:t>
            </w:r>
            <w:r>
              <w:rPr>
                <w:rFonts w:ascii="宋体" w:hAnsi="宋体" w:eastAsia="宋体" w:cs="Tahoma"/>
                <w:sz w:val="22"/>
              </w:rPr>
              <w:t xml:space="preserve">Cookie </w:t>
            </w:r>
            <w:r>
              <w:rPr>
                <w:rFonts w:hint="eastAsia" w:ascii="宋体" w:hAnsi="宋体" w:eastAsia="宋体" w:cs="Tahoma"/>
                <w:sz w:val="22"/>
              </w:rPr>
              <w:t>注入、代码注入、</w:t>
            </w:r>
            <w:r>
              <w:rPr>
                <w:rFonts w:ascii="宋体" w:hAnsi="宋体" w:eastAsia="宋体" w:cs="Tahoma"/>
                <w:sz w:val="22"/>
              </w:rPr>
              <w:t>LDAP</w:t>
            </w:r>
            <w:r>
              <w:rPr>
                <w:rFonts w:hint="eastAsia" w:ascii="宋体" w:hAnsi="宋体" w:eastAsia="宋体" w:cs="Tahoma"/>
                <w:sz w:val="22"/>
              </w:rPr>
              <w:t>注入、</w:t>
            </w:r>
            <w:r>
              <w:rPr>
                <w:rFonts w:ascii="宋体" w:hAnsi="宋体" w:eastAsia="宋体" w:cs="Tahoma"/>
                <w:sz w:val="22"/>
              </w:rPr>
              <w:t>SSI</w:t>
            </w:r>
            <w:r>
              <w:rPr>
                <w:rFonts w:hint="eastAsia" w:ascii="宋体" w:hAnsi="宋体" w:eastAsia="宋体" w:cs="Tahoma"/>
                <w:sz w:val="22"/>
              </w:rPr>
              <w:t>注入文件注入等）、跨站请求伪造等应用攻击行为</w:t>
            </w:r>
          </w:p>
        </w:tc>
        <w:tc>
          <w:tcPr>
            <w:tcW w:w="1037" w:type="dxa"/>
            <w:vAlign w:val="center"/>
          </w:tcPr>
          <w:p>
            <w:pPr>
              <w:widowControl/>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407" w:type="dxa"/>
            <w:vAlign w:val="center"/>
          </w:tcPr>
          <w:p>
            <w:pPr>
              <w:adjustRightInd w:val="0"/>
              <w:snapToGrid w:val="0"/>
              <w:jc w:val="center"/>
              <w:rPr>
                <w:rFonts w:ascii="宋体" w:hAnsi="宋体" w:eastAsia="宋体" w:cs="Arial"/>
                <w:sz w:val="22"/>
              </w:rPr>
            </w:pPr>
            <w:r>
              <w:rPr>
                <w:rFonts w:hint="eastAsia" w:ascii="宋体" w:hAnsi="宋体" w:eastAsia="宋体" w:cs="Arial"/>
                <w:sz w:val="22"/>
              </w:rPr>
              <w:t>Webshell检测</w:t>
            </w:r>
          </w:p>
        </w:tc>
        <w:tc>
          <w:tcPr>
            <w:tcW w:w="6628" w:type="dxa"/>
            <w:vAlign w:val="center"/>
          </w:tcPr>
          <w:p>
            <w:pPr>
              <w:adjustRightInd w:val="0"/>
              <w:snapToGrid w:val="0"/>
              <w:rPr>
                <w:rFonts w:ascii="宋体" w:hAnsi="宋体" w:eastAsia="宋体" w:cs="Arial"/>
                <w:sz w:val="22"/>
              </w:rPr>
            </w:pPr>
            <w:r>
              <w:rPr>
                <w:rFonts w:hint="eastAsia" w:ascii="宋体" w:hAnsi="宋体" w:eastAsia="宋体" w:cs="Tahoma"/>
                <w:sz w:val="22"/>
              </w:rPr>
              <w:t>内置主流</w:t>
            </w:r>
            <w:r>
              <w:rPr>
                <w:rFonts w:ascii="宋体" w:hAnsi="宋体" w:eastAsia="宋体" w:cs="Tahoma"/>
                <w:sz w:val="22"/>
              </w:rPr>
              <w:t>Webshell</w:t>
            </w:r>
            <w:r>
              <w:rPr>
                <w:rFonts w:hint="eastAsia" w:ascii="宋体" w:hAnsi="宋体" w:eastAsia="宋体" w:cs="Tahoma"/>
                <w:sz w:val="22"/>
              </w:rPr>
              <w:t>特征库，对文件上传内容进行检查，防止恶意</w:t>
            </w:r>
            <w:r>
              <w:rPr>
                <w:rFonts w:ascii="宋体" w:hAnsi="宋体" w:eastAsia="宋体" w:cs="Tahoma"/>
                <w:sz w:val="22"/>
              </w:rPr>
              <w:t>We</w:t>
            </w:r>
            <w:r>
              <w:rPr>
                <w:rFonts w:hint="eastAsia" w:ascii="宋体" w:hAnsi="宋体" w:eastAsia="宋体" w:cs="Tahoma"/>
                <w:sz w:val="22"/>
              </w:rPr>
              <w:t>b</w:t>
            </w:r>
            <w:r>
              <w:rPr>
                <w:rFonts w:ascii="宋体" w:hAnsi="宋体" w:eastAsia="宋体" w:cs="Tahoma"/>
                <w:sz w:val="22"/>
              </w:rPr>
              <w:t>shell</w:t>
            </w:r>
            <w:r>
              <w:rPr>
                <w:rFonts w:hint="eastAsia" w:ascii="宋体" w:hAnsi="宋体" w:eastAsia="宋体" w:cs="Tahoma"/>
                <w:sz w:val="22"/>
              </w:rPr>
              <w:t>上传，对已经上传的webshell发起请求的行为进行拦截阻断</w:t>
            </w:r>
          </w:p>
        </w:tc>
        <w:tc>
          <w:tcPr>
            <w:tcW w:w="1037" w:type="dxa"/>
            <w:vAlign w:val="center"/>
          </w:tcPr>
          <w:p>
            <w:pPr>
              <w:widowControl/>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407" w:type="dxa"/>
            <w:vAlign w:val="center"/>
          </w:tcPr>
          <w:p>
            <w:pPr>
              <w:adjustRightInd w:val="0"/>
              <w:snapToGrid w:val="0"/>
              <w:jc w:val="center"/>
              <w:rPr>
                <w:rFonts w:ascii="宋体" w:hAnsi="宋体" w:eastAsia="宋体" w:cs="Arial"/>
                <w:b/>
                <w:bCs/>
                <w:sz w:val="22"/>
              </w:rPr>
            </w:pPr>
            <w:r>
              <w:rPr>
                <w:rFonts w:hint="eastAsia" w:ascii="宋体" w:hAnsi="宋体" w:eastAsia="宋体" w:cs="Arial"/>
                <w:b/>
                <w:bCs/>
                <w:sz w:val="22"/>
              </w:rPr>
              <w:t>敏感信息隐藏拦截</w:t>
            </w:r>
          </w:p>
        </w:tc>
        <w:tc>
          <w:tcPr>
            <w:tcW w:w="6628" w:type="dxa"/>
            <w:vAlign w:val="center"/>
          </w:tcPr>
          <w:p>
            <w:pPr>
              <w:adjustRightInd w:val="0"/>
              <w:snapToGrid w:val="0"/>
              <w:rPr>
                <w:rFonts w:ascii="宋体" w:hAnsi="宋体" w:eastAsia="宋体" w:cs="Arial"/>
                <w:b/>
                <w:bCs/>
                <w:sz w:val="22"/>
              </w:rPr>
            </w:pPr>
            <w:r>
              <w:rPr>
                <w:rFonts w:hint="eastAsia" w:ascii="宋体" w:hAnsi="宋体" w:eastAsia="宋体" w:cs="Tahoma"/>
                <w:b/>
                <w:bCs/>
                <w:sz w:val="22"/>
              </w:rPr>
              <w:t>内置身份证、银行卡、手机号等服务器敏感信息库，对服务器响应敏感内容进行隐藏，并支持自定义敏感词，提供界面截图</w:t>
            </w:r>
          </w:p>
        </w:tc>
        <w:tc>
          <w:tcPr>
            <w:tcW w:w="1037" w:type="dxa"/>
            <w:vAlign w:val="center"/>
          </w:tcPr>
          <w:p>
            <w:pPr>
              <w:widowControl/>
              <w:jc w:val="center"/>
              <w:rPr>
                <w:rFonts w:ascii="宋体" w:hAnsi="宋体" w:eastAsia="宋体" w:cs="宋体"/>
                <w:b/>
                <w:bCs/>
                <w:color w:val="000000"/>
                <w:kern w:val="0"/>
                <w:sz w:val="22"/>
              </w:rPr>
            </w:pPr>
            <w:r>
              <w:rPr>
                <w:rFonts w:hint="eastAsia" w:ascii="宋体" w:hAnsi="宋体" w:eastAsia="宋体"/>
                <w:b/>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407" w:type="dxa"/>
            <w:vAlign w:val="center"/>
          </w:tcPr>
          <w:p>
            <w:pPr>
              <w:adjustRightInd w:val="0"/>
              <w:snapToGrid w:val="0"/>
              <w:jc w:val="center"/>
              <w:rPr>
                <w:rFonts w:ascii="宋体" w:hAnsi="宋体" w:eastAsia="宋体" w:cs="Arial"/>
                <w:sz w:val="22"/>
              </w:rPr>
            </w:pPr>
            <w:r>
              <w:rPr>
                <w:rFonts w:hint="eastAsia" w:ascii="宋体" w:hAnsi="宋体" w:eastAsia="宋体" w:cs="Arial"/>
                <w:sz w:val="22"/>
              </w:rPr>
              <w:t>智能攻击者锁定</w:t>
            </w:r>
          </w:p>
        </w:tc>
        <w:tc>
          <w:tcPr>
            <w:tcW w:w="6628" w:type="dxa"/>
            <w:vAlign w:val="center"/>
          </w:tcPr>
          <w:p>
            <w:pPr>
              <w:rPr>
                <w:rFonts w:ascii="宋体" w:hAnsi="宋体" w:eastAsia="宋体"/>
                <w:sz w:val="22"/>
              </w:rPr>
            </w:pPr>
            <w:r>
              <w:rPr>
                <w:rFonts w:hint="eastAsia" w:ascii="宋体" w:hAnsi="宋体" w:eastAsia="宋体"/>
                <w:sz w:val="22"/>
              </w:rPr>
              <w:t>支持智能识别攻击者，对网站连接发起攻击的</w:t>
            </w:r>
            <w:r>
              <w:rPr>
                <w:rFonts w:ascii="宋体" w:hAnsi="宋体" w:eastAsia="宋体"/>
                <w:sz w:val="22"/>
              </w:rPr>
              <w:t>IP</w:t>
            </w:r>
            <w:r>
              <w:rPr>
                <w:rFonts w:hint="eastAsia" w:ascii="宋体" w:hAnsi="宋体" w:eastAsia="宋体"/>
                <w:sz w:val="22"/>
              </w:rPr>
              <w:t>地址进行自动锁定禁止访问被攻击的网站；可配置攻击者识别策略和算法以及攻击者锁定时间</w:t>
            </w:r>
            <w:r>
              <w:rPr>
                <w:rFonts w:hint="eastAsia" w:ascii="宋体" w:hAnsi="宋体" w:eastAsia="宋体" w:cs="Tahoma"/>
                <w:sz w:val="22"/>
              </w:rPr>
              <w:t>，提供界面截图并加盖公司公章</w:t>
            </w:r>
          </w:p>
        </w:tc>
        <w:tc>
          <w:tcPr>
            <w:tcW w:w="1037" w:type="dxa"/>
            <w:vAlign w:val="center"/>
          </w:tcPr>
          <w:p>
            <w:pPr>
              <w:widowControl/>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407" w:type="dxa"/>
            <w:vAlign w:val="center"/>
          </w:tcPr>
          <w:p>
            <w:pPr>
              <w:adjustRightInd w:val="0"/>
              <w:snapToGrid w:val="0"/>
              <w:jc w:val="center"/>
              <w:rPr>
                <w:rFonts w:ascii="宋体" w:hAnsi="宋体" w:eastAsia="宋体" w:cs="Arial"/>
                <w:b/>
                <w:bCs/>
                <w:sz w:val="22"/>
              </w:rPr>
            </w:pPr>
            <w:r>
              <w:rPr>
                <w:rFonts w:hint="eastAsia" w:ascii="宋体" w:hAnsi="宋体" w:eastAsia="宋体" w:cs="Arial"/>
                <w:b/>
                <w:bCs/>
                <w:sz w:val="22"/>
              </w:rPr>
              <w:t>WEB访问流程合规防护</w:t>
            </w:r>
          </w:p>
        </w:tc>
        <w:tc>
          <w:tcPr>
            <w:tcW w:w="6628" w:type="dxa"/>
            <w:vAlign w:val="center"/>
          </w:tcPr>
          <w:p>
            <w:pPr>
              <w:adjustRightInd w:val="0"/>
              <w:snapToGrid w:val="0"/>
              <w:rPr>
                <w:rFonts w:ascii="宋体" w:hAnsi="宋体" w:eastAsia="宋体" w:cs="Tahoma"/>
                <w:b/>
                <w:bCs/>
                <w:sz w:val="22"/>
              </w:rPr>
            </w:pPr>
            <w:r>
              <w:rPr>
                <w:rFonts w:hint="eastAsia" w:ascii="宋体" w:hAnsi="宋体" w:eastAsia="宋体" w:cs="Tahoma"/>
                <w:b/>
                <w:bCs/>
                <w:sz w:val="22"/>
              </w:rPr>
              <w:t>可实现访问流程的校验，向网站提交表单前必须先访问指定页面，并等待可配置的时间长度后才能正常提交表单，</w:t>
            </w:r>
            <w:r>
              <w:rPr>
                <w:rFonts w:hint="eastAsia" w:ascii="宋体" w:hAnsi="宋体" w:eastAsia="宋体"/>
                <w:b/>
                <w:bCs/>
                <w:sz w:val="22"/>
              </w:rPr>
              <w:t>需提供第三方测评机构（必须是公安部三所、国家保密局、</w:t>
            </w:r>
            <w:r>
              <w:rPr>
                <w:rFonts w:ascii="宋体" w:hAnsi="宋体" w:eastAsia="宋体"/>
                <w:b/>
                <w:bCs/>
                <w:sz w:val="22"/>
              </w:rPr>
              <w:t>ISCCC</w:t>
            </w:r>
            <w:r>
              <w:rPr>
                <w:rFonts w:hint="eastAsia" w:ascii="宋体" w:hAnsi="宋体" w:eastAsia="宋体"/>
                <w:b/>
                <w:bCs/>
                <w:sz w:val="22"/>
              </w:rPr>
              <w:t>其中一家）的检测报告</w:t>
            </w:r>
          </w:p>
        </w:tc>
        <w:tc>
          <w:tcPr>
            <w:tcW w:w="1037" w:type="dxa"/>
            <w:vAlign w:val="center"/>
          </w:tcPr>
          <w:p>
            <w:pPr>
              <w:widowControl/>
              <w:jc w:val="center"/>
              <w:rPr>
                <w:rFonts w:ascii="宋体" w:hAnsi="宋体" w:eastAsia="宋体" w:cs="宋体"/>
                <w:b/>
                <w:bCs/>
                <w:color w:val="000000"/>
                <w:kern w:val="0"/>
                <w:sz w:val="22"/>
              </w:rPr>
            </w:pPr>
            <w:r>
              <w:rPr>
                <w:rFonts w:hint="eastAsia" w:ascii="宋体" w:hAnsi="宋体" w:eastAsia="宋体"/>
                <w:b/>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407" w:type="dxa"/>
            <w:vAlign w:val="center"/>
          </w:tcPr>
          <w:p>
            <w:pPr>
              <w:jc w:val="center"/>
              <w:rPr>
                <w:rFonts w:ascii="宋体" w:hAnsi="宋体" w:eastAsia="宋体"/>
                <w:b/>
                <w:bCs/>
                <w:sz w:val="22"/>
              </w:rPr>
            </w:pPr>
            <w:r>
              <w:rPr>
                <w:rFonts w:hint="eastAsia" w:ascii="宋体" w:hAnsi="宋体" w:eastAsia="宋体"/>
                <w:b/>
                <w:bCs/>
                <w:sz w:val="22"/>
              </w:rPr>
              <w:t>CC防护功能</w:t>
            </w:r>
          </w:p>
        </w:tc>
        <w:tc>
          <w:tcPr>
            <w:tcW w:w="6628" w:type="dxa"/>
            <w:vAlign w:val="center"/>
          </w:tcPr>
          <w:p>
            <w:pPr>
              <w:rPr>
                <w:rFonts w:ascii="宋体" w:hAnsi="宋体" w:eastAsia="宋体"/>
                <w:b/>
                <w:bCs/>
                <w:sz w:val="22"/>
              </w:rPr>
            </w:pPr>
            <w:r>
              <w:rPr>
                <w:rFonts w:hint="eastAsia" w:ascii="宋体" w:hAnsi="宋体" w:eastAsia="宋体"/>
                <w:b/>
                <w:bCs/>
                <w:sz w:val="22"/>
              </w:rPr>
              <w:t>可根据</w:t>
            </w:r>
            <w:r>
              <w:rPr>
                <w:rFonts w:ascii="宋体" w:hAnsi="宋体" w:eastAsia="宋体"/>
                <w:b/>
                <w:bCs/>
                <w:sz w:val="22"/>
              </w:rPr>
              <w:t>URL</w:t>
            </w:r>
            <w:r>
              <w:rPr>
                <w:rFonts w:hint="eastAsia" w:ascii="宋体" w:hAnsi="宋体" w:eastAsia="宋体"/>
                <w:b/>
                <w:bCs/>
                <w:sz w:val="22"/>
              </w:rPr>
              <w:t>、请求头字段、目标</w:t>
            </w:r>
            <w:r>
              <w:rPr>
                <w:rFonts w:ascii="宋体" w:hAnsi="宋体" w:eastAsia="宋体"/>
                <w:b/>
                <w:bCs/>
                <w:sz w:val="22"/>
              </w:rPr>
              <w:t>IP</w:t>
            </w:r>
            <w:r>
              <w:rPr>
                <w:rFonts w:hint="eastAsia" w:ascii="宋体" w:hAnsi="宋体" w:eastAsia="宋体"/>
                <w:b/>
                <w:bCs/>
                <w:sz w:val="22"/>
              </w:rPr>
              <w:t>、请求方法等多种组合条件对</w:t>
            </w:r>
            <w:r>
              <w:rPr>
                <w:rFonts w:ascii="宋体" w:hAnsi="宋体" w:eastAsia="宋体"/>
                <w:b/>
                <w:bCs/>
                <w:sz w:val="22"/>
              </w:rPr>
              <w:t>CC</w:t>
            </w:r>
            <w:r>
              <w:rPr>
                <w:rFonts w:hint="eastAsia" w:ascii="宋体" w:hAnsi="宋体" w:eastAsia="宋体"/>
                <w:b/>
                <w:bCs/>
                <w:sz w:val="22"/>
              </w:rPr>
              <w:t>攻击进行检测，检测指标为</w:t>
            </w:r>
            <w:r>
              <w:rPr>
                <w:rFonts w:ascii="宋体" w:hAnsi="宋体" w:eastAsia="宋体"/>
                <w:b/>
                <w:bCs/>
                <w:sz w:val="22"/>
              </w:rPr>
              <w:t>URL</w:t>
            </w:r>
            <w:r>
              <w:rPr>
                <w:rFonts w:hint="eastAsia" w:ascii="宋体" w:hAnsi="宋体" w:eastAsia="宋体"/>
                <w:b/>
                <w:bCs/>
                <w:sz w:val="22"/>
              </w:rPr>
              <w:t>访问速率和</w:t>
            </w:r>
            <w:r>
              <w:rPr>
                <w:rFonts w:ascii="宋体" w:hAnsi="宋体" w:eastAsia="宋体"/>
                <w:b/>
                <w:bCs/>
                <w:sz w:val="22"/>
              </w:rPr>
              <w:t>URL</w:t>
            </w:r>
            <w:r>
              <w:rPr>
                <w:rFonts w:hint="eastAsia" w:ascii="宋体" w:hAnsi="宋体" w:eastAsia="宋体"/>
                <w:b/>
                <w:bCs/>
                <w:sz w:val="22"/>
              </w:rPr>
              <w:t>访问集中度；可根据</w:t>
            </w:r>
            <w:r>
              <w:rPr>
                <w:rFonts w:ascii="宋体" w:hAnsi="宋体" w:eastAsia="宋体"/>
                <w:b/>
                <w:bCs/>
                <w:sz w:val="22"/>
              </w:rPr>
              <w:t>IP</w:t>
            </w:r>
            <w:r>
              <w:rPr>
                <w:rFonts w:hint="eastAsia" w:ascii="宋体" w:hAnsi="宋体" w:eastAsia="宋体"/>
                <w:b/>
                <w:bCs/>
                <w:sz w:val="22"/>
              </w:rPr>
              <w:t>、</w:t>
            </w:r>
            <w:r>
              <w:rPr>
                <w:rFonts w:ascii="宋体" w:hAnsi="宋体" w:eastAsia="宋体"/>
                <w:b/>
                <w:bCs/>
                <w:sz w:val="22"/>
              </w:rPr>
              <w:t>IP+URL</w:t>
            </w:r>
            <w:r>
              <w:rPr>
                <w:rFonts w:hint="eastAsia" w:ascii="宋体" w:hAnsi="宋体" w:eastAsia="宋体"/>
                <w:b/>
                <w:bCs/>
                <w:sz w:val="22"/>
              </w:rPr>
              <w:t>和</w:t>
            </w:r>
            <w:r>
              <w:rPr>
                <w:rFonts w:ascii="宋体" w:hAnsi="宋体" w:eastAsia="宋体"/>
                <w:b/>
                <w:bCs/>
                <w:sz w:val="22"/>
              </w:rPr>
              <w:t>IP+User_Agent</w:t>
            </w:r>
            <w:r>
              <w:rPr>
                <w:rFonts w:hint="eastAsia" w:ascii="宋体" w:hAnsi="宋体" w:eastAsia="宋体"/>
                <w:b/>
                <w:bCs/>
                <w:sz w:val="22"/>
              </w:rPr>
              <w:t>等算法对客户端进行检测，并支持应用层字段解析和自定义检测字段功能，支持挑战模式，支持基于地址位置的识别，支持对特定的</w:t>
            </w:r>
            <w:r>
              <w:rPr>
                <w:rFonts w:ascii="宋体" w:hAnsi="宋体" w:eastAsia="宋体"/>
                <w:b/>
                <w:bCs/>
                <w:sz w:val="22"/>
              </w:rPr>
              <w:t>IP</w:t>
            </w:r>
            <w:r>
              <w:rPr>
                <w:rFonts w:hint="eastAsia" w:ascii="宋体" w:hAnsi="宋体" w:eastAsia="宋体"/>
                <w:b/>
                <w:bCs/>
                <w:sz w:val="22"/>
              </w:rPr>
              <w:t>地址进行</w:t>
            </w:r>
            <w:r>
              <w:rPr>
                <w:rFonts w:ascii="宋体" w:hAnsi="宋体" w:eastAsia="宋体"/>
                <w:b/>
                <w:bCs/>
                <w:sz w:val="22"/>
              </w:rPr>
              <w:t>CC</w:t>
            </w:r>
            <w:r>
              <w:rPr>
                <w:rFonts w:hint="eastAsia" w:ascii="宋体" w:hAnsi="宋体" w:eastAsia="宋体"/>
                <w:b/>
                <w:bCs/>
                <w:sz w:val="22"/>
              </w:rPr>
              <w:t>规则白名单放行，支持</w:t>
            </w:r>
            <w:r>
              <w:rPr>
                <w:rFonts w:ascii="宋体" w:hAnsi="宋体" w:eastAsia="宋体"/>
                <w:b/>
                <w:bCs/>
                <w:sz w:val="22"/>
              </w:rPr>
              <w:t>CC</w:t>
            </w:r>
            <w:r>
              <w:rPr>
                <w:rFonts w:hint="eastAsia" w:ascii="宋体" w:hAnsi="宋体" w:eastAsia="宋体"/>
                <w:b/>
                <w:bCs/>
                <w:sz w:val="22"/>
              </w:rPr>
              <w:t>慢攻击防护，通过学习业务流量模型，在业务流量异常时开启</w:t>
            </w:r>
            <w:r>
              <w:rPr>
                <w:rFonts w:ascii="宋体" w:hAnsi="宋体" w:eastAsia="宋体"/>
                <w:b/>
                <w:bCs/>
                <w:sz w:val="22"/>
              </w:rPr>
              <w:t>CC</w:t>
            </w:r>
            <w:r>
              <w:rPr>
                <w:rFonts w:hint="eastAsia" w:ascii="宋体" w:hAnsi="宋体" w:eastAsia="宋体"/>
                <w:b/>
                <w:bCs/>
                <w:sz w:val="22"/>
              </w:rPr>
              <w:t>防护，并支持启动配置阈值，需提供第三方测评机构（必须是公安部三所、国家保密局、</w:t>
            </w:r>
            <w:r>
              <w:rPr>
                <w:rFonts w:ascii="宋体" w:hAnsi="宋体" w:eastAsia="宋体"/>
                <w:b/>
                <w:bCs/>
                <w:sz w:val="22"/>
              </w:rPr>
              <w:t>ISCCC</w:t>
            </w:r>
            <w:r>
              <w:rPr>
                <w:rFonts w:hint="eastAsia" w:ascii="宋体" w:hAnsi="宋体" w:eastAsia="宋体"/>
                <w:b/>
                <w:bCs/>
                <w:sz w:val="22"/>
              </w:rPr>
              <w:t>其中一家）的检测报告</w:t>
            </w:r>
          </w:p>
        </w:tc>
        <w:tc>
          <w:tcPr>
            <w:tcW w:w="1037" w:type="dxa"/>
            <w:vAlign w:val="center"/>
          </w:tcPr>
          <w:p>
            <w:pPr>
              <w:widowControl/>
              <w:jc w:val="center"/>
              <w:rPr>
                <w:rFonts w:ascii="宋体" w:hAnsi="宋体" w:eastAsia="宋体" w:cs="宋体"/>
                <w:b/>
                <w:bCs/>
                <w:color w:val="000000"/>
                <w:kern w:val="0"/>
                <w:sz w:val="22"/>
              </w:rPr>
            </w:pPr>
            <w:r>
              <w:rPr>
                <w:rFonts w:hint="eastAsia" w:ascii="宋体" w:hAnsi="宋体" w:eastAsia="宋体"/>
                <w:b/>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407" w:type="dxa"/>
            <w:vAlign w:val="center"/>
          </w:tcPr>
          <w:p>
            <w:pPr>
              <w:jc w:val="center"/>
              <w:rPr>
                <w:rFonts w:ascii="宋体" w:hAnsi="宋体" w:eastAsia="宋体"/>
                <w:b/>
                <w:bCs/>
                <w:sz w:val="22"/>
              </w:rPr>
            </w:pPr>
            <w:r>
              <w:rPr>
                <w:rFonts w:hint="eastAsia" w:ascii="宋体" w:hAnsi="宋体" w:eastAsia="宋体"/>
                <w:b/>
                <w:bCs/>
                <w:sz w:val="22"/>
              </w:rPr>
              <w:t>地图态势分析</w:t>
            </w:r>
          </w:p>
        </w:tc>
        <w:tc>
          <w:tcPr>
            <w:tcW w:w="6628" w:type="dxa"/>
            <w:vAlign w:val="center"/>
          </w:tcPr>
          <w:p>
            <w:pPr>
              <w:rPr>
                <w:rFonts w:ascii="宋体" w:hAnsi="宋体" w:eastAsia="宋体" w:cs="Tahoma"/>
                <w:b/>
                <w:bCs/>
                <w:sz w:val="22"/>
              </w:rPr>
            </w:pPr>
            <w:r>
              <w:rPr>
                <w:rFonts w:hint="eastAsia" w:ascii="宋体" w:hAnsi="宋体" w:eastAsia="宋体" w:cs="Tahoma"/>
                <w:b/>
                <w:bCs/>
                <w:sz w:val="22"/>
              </w:rPr>
              <w:t>按地理区域对攻击次数等进行统计，通过地图展示，并在地图上可以指定某一地理区域进行访问控制，阻断此区域</w:t>
            </w:r>
            <w:r>
              <w:rPr>
                <w:rFonts w:ascii="宋体" w:hAnsi="宋体" w:eastAsia="宋体" w:cs="Tahoma"/>
                <w:b/>
                <w:bCs/>
                <w:sz w:val="22"/>
              </w:rPr>
              <w:t xml:space="preserve"> IP</w:t>
            </w:r>
            <w:r>
              <w:rPr>
                <w:rFonts w:hint="eastAsia" w:ascii="宋体" w:hAnsi="宋体" w:eastAsia="宋体" w:cs="Tahoma"/>
                <w:b/>
                <w:bCs/>
                <w:sz w:val="22"/>
              </w:rPr>
              <w:t>的访问，需提供第三方测评机构（必须是公安部三所、国家保密局、</w:t>
            </w:r>
            <w:r>
              <w:rPr>
                <w:rFonts w:ascii="宋体" w:hAnsi="宋体" w:eastAsia="宋体" w:cs="Tahoma"/>
                <w:b/>
                <w:bCs/>
                <w:sz w:val="22"/>
              </w:rPr>
              <w:t>ISCCC</w:t>
            </w:r>
            <w:r>
              <w:rPr>
                <w:rFonts w:hint="eastAsia" w:ascii="宋体" w:hAnsi="宋体" w:eastAsia="宋体" w:cs="Tahoma"/>
                <w:b/>
                <w:bCs/>
                <w:sz w:val="22"/>
              </w:rPr>
              <w:t>其中一家）的检测报告</w:t>
            </w:r>
          </w:p>
        </w:tc>
        <w:tc>
          <w:tcPr>
            <w:tcW w:w="1037" w:type="dxa"/>
            <w:vAlign w:val="center"/>
          </w:tcPr>
          <w:p>
            <w:pPr>
              <w:widowControl/>
              <w:jc w:val="center"/>
              <w:rPr>
                <w:rFonts w:ascii="宋体" w:hAnsi="宋体" w:eastAsia="宋体" w:cs="宋体"/>
                <w:b/>
                <w:bCs/>
                <w:color w:val="000000"/>
                <w:kern w:val="0"/>
                <w:sz w:val="22"/>
              </w:rPr>
            </w:pPr>
            <w:r>
              <w:rPr>
                <w:rFonts w:hint="eastAsia" w:ascii="宋体" w:hAnsi="宋体" w:eastAsia="宋体"/>
                <w:b/>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407" w:type="dxa"/>
            <w:vMerge w:val="restart"/>
            <w:vAlign w:val="center"/>
          </w:tcPr>
          <w:p>
            <w:pPr>
              <w:jc w:val="center"/>
              <w:rPr>
                <w:rFonts w:ascii="宋体" w:hAnsi="宋体" w:eastAsia="宋体"/>
                <w:b/>
                <w:bCs/>
                <w:sz w:val="22"/>
              </w:rPr>
            </w:pPr>
            <w:r>
              <w:rPr>
                <w:rFonts w:hint="eastAsia" w:ascii="宋体" w:hAnsi="宋体" w:eastAsia="宋体" w:cs="Tahoma"/>
                <w:b/>
                <w:bCs/>
                <w:color w:val="000000"/>
                <w:sz w:val="22"/>
              </w:rPr>
              <w:t>云端</w:t>
            </w:r>
            <w:r>
              <w:rPr>
                <w:rFonts w:hint="eastAsia" w:ascii="宋体" w:hAnsi="宋体" w:eastAsia="宋体"/>
                <w:b/>
                <w:bCs/>
                <w:color w:val="000000"/>
                <w:sz w:val="22"/>
              </w:rPr>
              <w:t>联动</w:t>
            </w:r>
          </w:p>
        </w:tc>
        <w:tc>
          <w:tcPr>
            <w:tcW w:w="6628" w:type="dxa"/>
            <w:vAlign w:val="center"/>
          </w:tcPr>
          <w:p>
            <w:pPr>
              <w:rPr>
                <w:rFonts w:ascii="宋体" w:hAnsi="宋体" w:eastAsia="宋体" w:cs="Tahoma"/>
                <w:b/>
                <w:bCs/>
                <w:sz w:val="22"/>
              </w:rPr>
            </w:pPr>
            <w:r>
              <w:rPr>
                <w:rFonts w:hint="eastAsia" w:ascii="宋体" w:hAnsi="宋体" w:eastAsia="宋体" w:cs="Tahoma"/>
                <w:b/>
                <w:bCs/>
                <w:sz w:val="22"/>
              </w:rPr>
              <w:t>支持云端威胁情报联动，可主动发现包括僵尸</w:t>
            </w:r>
            <w:r>
              <w:rPr>
                <w:rFonts w:ascii="宋体" w:hAnsi="宋体" w:eastAsia="宋体" w:cs="Tahoma"/>
                <w:b/>
                <w:bCs/>
                <w:sz w:val="22"/>
              </w:rPr>
              <w:t>IP</w:t>
            </w:r>
            <w:r>
              <w:rPr>
                <w:rFonts w:hint="eastAsia" w:ascii="宋体" w:hAnsi="宋体" w:eastAsia="宋体" w:cs="Tahoma"/>
                <w:b/>
                <w:bCs/>
                <w:sz w:val="22"/>
              </w:rPr>
              <w:t>、代理</w:t>
            </w:r>
            <w:r>
              <w:rPr>
                <w:rFonts w:ascii="宋体" w:hAnsi="宋体" w:eastAsia="宋体" w:cs="Tahoma"/>
                <w:b/>
                <w:bCs/>
                <w:sz w:val="22"/>
              </w:rPr>
              <w:t>IP</w:t>
            </w:r>
            <w:r>
              <w:rPr>
                <w:rFonts w:hint="eastAsia" w:ascii="宋体" w:hAnsi="宋体" w:eastAsia="宋体" w:cs="Tahoma"/>
                <w:b/>
                <w:bCs/>
                <w:sz w:val="22"/>
              </w:rPr>
              <w:t>、扫描</w:t>
            </w:r>
            <w:r>
              <w:rPr>
                <w:rFonts w:ascii="宋体" w:hAnsi="宋体" w:eastAsia="宋体" w:cs="Tahoma"/>
                <w:b/>
                <w:bCs/>
                <w:sz w:val="22"/>
              </w:rPr>
              <w:t>IP</w:t>
            </w:r>
            <w:r>
              <w:rPr>
                <w:rFonts w:hint="eastAsia" w:ascii="宋体" w:hAnsi="宋体" w:eastAsia="宋体" w:cs="Tahoma"/>
                <w:b/>
                <w:bCs/>
                <w:sz w:val="22"/>
              </w:rPr>
              <w:t>、黑产</w:t>
            </w:r>
            <w:r>
              <w:rPr>
                <w:rFonts w:ascii="宋体" w:hAnsi="宋体" w:eastAsia="宋体" w:cs="Tahoma"/>
                <w:b/>
                <w:bCs/>
                <w:sz w:val="22"/>
              </w:rPr>
              <w:t>IP</w:t>
            </w:r>
            <w:r>
              <w:rPr>
                <w:rFonts w:hint="eastAsia" w:ascii="宋体" w:hAnsi="宋体" w:eastAsia="宋体" w:cs="Tahoma"/>
                <w:b/>
                <w:bCs/>
                <w:sz w:val="22"/>
              </w:rPr>
              <w:t>、</w:t>
            </w:r>
            <w:r>
              <w:rPr>
                <w:rFonts w:ascii="宋体" w:hAnsi="宋体" w:eastAsia="宋体" w:cs="Tahoma"/>
                <w:b/>
                <w:bCs/>
                <w:sz w:val="22"/>
              </w:rPr>
              <w:t>C&amp;C</w:t>
            </w:r>
            <w:r>
              <w:rPr>
                <w:rFonts w:hint="eastAsia" w:ascii="宋体" w:hAnsi="宋体" w:eastAsia="宋体" w:cs="Tahoma"/>
                <w:b/>
                <w:bCs/>
                <w:sz w:val="22"/>
              </w:rPr>
              <w:t>等恶意</w:t>
            </w:r>
            <w:r>
              <w:rPr>
                <w:rFonts w:ascii="宋体" w:hAnsi="宋体" w:eastAsia="宋体" w:cs="Tahoma"/>
                <w:b/>
                <w:bCs/>
                <w:sz w:val="22"/>
              </w:rPr>
              <w:t>IP</w:t>
            </w:r>
            <w:r>
              <w:rPr>
                <w:rFonts w:hint="eastAsia" w:ascii="宋体" w:hAnsi="宋体" w:eastAsia="宋体" w:cs="Tahoma"/>
                <w:b/>
                <w:bCs/>
                <w:sz w:val="22"/>
              </w:rPr>
              <w:t>发起的访问行为，针对访问行为进行日志记录通知客户，实时统计威胁情报的攻击攻击类型占比和攻击的频率，提供界面截图。</w:t>
            </w:r>
          </w:p>
        </w:tc>
        <w:tc>
          <w:tcPr>
            <w:tcW w:w="1037" w:type="dxa"/>
            <w:vAlign w:val="center"/>
          </w:tcPr>
          <w:p>
            <w:pPr>
              <w:widowControl/>
              <w:jc w:val="center"/>
              <w:rPr>
                <w:rFonts w:ascii="宋体" w:hAnsi="宋体" w:eastAsia="宋体" w:cs="宋体"/>
                <w:b/>
                <w:bCs/>
                <w:color w:val="000000"/>
                <w:kern w:val="0"/>
                <w:sz w:val="22"/>
              </w:rPr>
            </w:pPr>
            <w:r>
              <w:rPr>
                <w:rFonts w:hint="eastAsia" w:ascii="宋体" w:hAnsi="宋体" w:eastAsia="宋体"/>
                <w:b/>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407" w:type="dxa"/>
            <w:vMerge w:val="continue"/>
            <w:vAlign w:val="center"/>
          </w:tcPr>
          <w:p>
            <w:pPr>
              <w:jc w:val="center"/>
              <w:rPr>
                <w:rFonts w:ascii="宋体" w:hAnsi="宋体" w:eastAsia="宋体"/>
                <w:sz w:val="22"/>
              </w:rPr>
            </w:pPr>
          </w:p>
        </w:tc>
        <w:tc>
          <w:tcPr>
            <w:tcW w:w="6628" w:type="dxa"/>
            <w:vAlign w:val="center"/>
          </w:tcPr>
          <w:p>
            <w:pPr>
              <w:rPr>
                <w:rFonts w:ascii="宋体" w:hAnsi="宋体" w:eastAsia="宋体" w:cs="Tahoma"/>
                <w:sz w:val="22"/>
              </w:rPr>
            </w:pPr>
            <w:r>
              <w:rPr>
                <w:rFonts w:ascii="宋体" w:hAnsi="宋体" w:eastAsia="宋体" w:cs="Tahoma"/>
                <w:sz w:val="22"/>
              </w:rPr>
              <w:t>WAF</w:t>
            </w:r>
            <w:r>
              <w:rPr>
                <w:rFonts w:hint="eastAsia" w:ascii="宋体" w:hAnsi="宋体" w:eastAsia="宋体" w:cs="Tahoma"/>
                <w:sz w:val="22"/>
              </w:rPr>
              <w:t>与云端高防中心联动，通过</w:t>
            </w:r>
            <w:r>
              <w:rPr>
                <w:rFonts w:ascii="宋体" w:hAnsi="宋体" w:eastAsia="宋体" w:cs="Tahoma"/>
                <w:sz w:val="22"/>
              </w:rPr>
              <w:t>WAF</w:t>
            </w:r>
            <w:r>
              <w:rPr>
                <w:rFonts w:hint="eastAsia" w:ascii="宋体" w:hAnsi="宋体" w:eastAsia="宋体" w:cs="Tahoma"/>
                <w:sz w:val="22"/>
              </w:rPr>
              <w:t>一键开启防护，实现</w:t>
            </w:r>
            <w:r>
              <w:rPr>
                <w:rFonts w:ascii="宋体" w:hAnsi="宋体" w:eastAsia="宋体" w:cs="Tahoma"/>
                <w:sz w:val="22"/>
              </w:rPr>
              <w:t>3-7</w:t>
            </w:r>
            <w:r>
              <w:rPr>
                <w:rFonts w:hint="eastAsia" w:ascii="宋体" w:hAnsi="宋体" w:eastAsia="宋体" w:cs="Tahoma"/>
                <w:sz w:val="22"/>
              </w:rPr>
              <w:t>的</w:t>
            </w:r>
            <w:r>
              <w:rPr>
                <w:rFonts w:ascii="宋体" w:hAnsi="宋体" w:eastAsia="宋体" w:cs="Tahoma"/>
                <w:sz w:val="22"/>
              </w:rPr>
              <w:t>DDOS</w:t>
            </w:r>
            <w:r>
              <w:rPr>
                <w:rFonts w:hint="eastAsia" w:ascii="宋体" w:hAnsi="宋体" w:eastAsia="宋体" w:cs="Tahoma"/>
                <w:sz w:val="22"/>
              </w:rPr>
              <w:t>安全防护，最高可提供</w:t>
            </w:r>
            <w:r>
              <w:rPr>
                <w:rFonts w:ascii="宋体" w:hAnsi="宋体" w:eastAsia="宋体" w:cs="Tahoma"/>
                <w:sz w:val="22"/>
              </w:rPr>
              <w:t>1</w:t>
            </w:r>
            <w:r>
              <w:rPr>
                <w:rFonts w:hint="eastAsia" w:ascii="宋体" w:hAnsi="宋体" w:eastAsia="宋体" w:cs="Tahoma"/>
                <w:sz w:val="22"/>
              </w:rPr>
              <w:t>T抗</w:t>
            </w:r>
            <w:r>
              <w:rPr>
                <w:rFonts w:ascii="宋体" w:hAnsi="宋体" w:eastAsia="宋体" w:cs="Tahoma"/>
                <w:sz w:val="22"/>
              </w:rPr>
              <w:t>D</w:t>
            </w:r>
            <w:r>
              <w:rPr>
                <w:rFonts w:hint="eastAsia" w:ascii="宋体" w:hAnsi="宋体" w:eastAsia="宋体" w:cs="Tahoma"/>
                <w:sz w:val="22"/>
              </w:rPr>
              <w:t>服务，提供界面截图。</w:t>
            </w:r>
          </w:p>
        </w:tc>
        <w:tc>
          <w:tcPr>
            <w:tcW w:w="1037" w:type="dxa"/>
            <w:vAlign w:val="center"/>
          </w:tcPr>
          <w:p>
            <w:pPr>
              <w:widowControl/>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407" w:type="dxa"/>
            <w:vAlign w:val="center"/>
          </w:tcPr>
          <w:p>
            <w:pPr>
              <w:jc w:val="center"/>
              <w:rPr>
                <w:rFonts w:ascii="宋体" w:hAnsi="宋体" w:eastAsia="宋体" w:cs="Arial"/>
                <w:sz w:val="22"/>
              </w:rPr>
            </w:pPr>
            <w:r>
              <w:rPr>
                <w:rFonts w:hint="eastAsia" w:ascii="宋体" w:hAnsi="宋体" w:eastAsia="宋体" w:cs="Arial"/>
                <w:sz w:val="22"/>
              </w:rPr>
              <w:t>日志分析</w:t>
            </w:r>
          </w:p>
        </w:tc>
        <w:tc>
          <w:tcPr>
            <w:tcW w:w="6628" w:type="dxa"/>
            <w:vAlign w:val="center"/>
          </w:tcPr>
          <w:p>
            <w:pPr>
              <w:rPr>
                <w:rFonts w:ascii="宋体" w:hAnsi="宋体" w:eastAsia="宋体" w:cs="Tahoma"/>
                <w:sz w:val="22"/>
              </w:rPr>
            </w:pPr>
            <w:r>
              <w:rPr>
                <w:rFonts w:hint="eastAsia" w:ascii="宋体" w:hAnsi="宋体" w:eastAsia="宋体"/>
                <w:sz w:val="22"/>
              </w:rPr>
              <w:t>根据产生的安全日志进行智能分析，提高人工分析效率，减小规则误判概率，提供界面截图。</w:t>
            </w:r>
          </w:p>
        </w:tc>
        <w:tc>
          <w:tcPr>
            <w:tcW w:w="1037" w:type="dxa"/>
            <w:vAlign w:val="center"/>
          </w:tcPr>
          <w:p>
            <w:pPr>
              <w:widowControl/>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407" w:type="dxa"/>
            <w:vAlign w:val="center"/>
          </w:tcPr>
          <w:p>
            <w:pPr>
              <w:jc w:val="center"/>
              <w:rPr>
                <w:rFonts w:ascii="宋体" w:hAnsi="宋体" w:eastAsia="宋体" w:cs="Arial"/>
                <w:sz w:val="22"/>
              </w:rPr>
            </w:pPr>
            <w:r>
              <w:rPr>
                <w:rFonts w:hint="eastAsia" w:ascii="宋体" w:hAnsi="宋体" w:eastAsia="宋体" w:cs="Arial"/>
                <w:sz w:val="22"/>
              </w:rPr>
              <w:t>访问审计</w:t>
            </w:r>
          </w:p>
        </w:tc>
        <w:tc>
          <w:tcPr>
            <w:tcW w:w="6628" w:type="dxa"/>
            <w:vAlign w:val="center"/>
          </w:tcPr>
          <w:p>
            <w:pPr>
              <w:rPr>
                <w:rFonts w:ascii="宋体" w:hAnsi="宋体" w:eastAsia="宋体"/>
                <w:sz w:val="22"/>
              </w:rPr>
            </w:pPr>
            <w:r>
              <w:rPr>
                <w:rFonts w:hint="eastAsia" w:ascii="宋体" w:hAnsi="宋体" w:eastAsia="宋体"/>
                <w:sz w:val="22"/>
              </w:rPr>
              <w:t>具备审计网站正常访问流量的能力，提供按小时，天、月份生成用户的访问数据；能记录、查询所有用户对网站的访问情况，包括访问的</w:t>
            </w:r>
            <w:r>
              <w:rPr>
                <w:rFonts w:ascii="宋体" w:hAnsi="宋体" w:eastAsia="宋体"/>
                <w:sz w:val="22"/>
              </w:rPr>
              <w:t>URL</w:t>
            </w:r>
            <w:r>
              <w:rPr>
                <w:rFonts w:hint="eastAsia" w:ascii="宋体" w:hAnsi="宋体" w:eastAsia="宋体"/>
                <w:sz w:val="22"/>
              </w:rPr>
              <w:t>、客户端</w:t>
            </w:r>
            <w:r>
              <w:rPr>
                <w:rFonts w:ascii="宋体" w:hAnsi="宋体" w:eastAsia="宋体"/>
                <w:sz w:val="22"/>
              </w:rPr>
              <w:t>IP</w:t>
            </w:r>
            <w:r>
              <w:rPr>
                <w:rFonts w:hint="eastAsia" w:ascii="宋体" w:hAnsi="宋体" w:eastAsia="宋体"/>
                <w:sz w:val="22"/>
              </w:rPr>
              <w:t>、服务器返回的状态码。</w:t>
            </w:r>
            <w:r>
              <w:rPr>
                <w:rFonts w:hint="eastAsia" w:ascii="宋体" w:hAnsi="宋体" w:eastAsia="宋体" w:cs="Tahoma"/>
                <w:sz w:val="22"/>
              </w:rPr>
              <w:t>上述功能须提供界面截图。</w:t>
            </w:r>
          </w:p>
        </w:tc>
        <w:tc>
          <w:tcPr>
            <w:tcW w:w="1037" w:type="dxa"/>
            <w:vAlign w:val="center"/>
          </w:tcPr>
          <w:p>
            <w:pPr>
              <w:widowControl/>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407" w:type="dxa"/>
            <w:vAlign w:val="center"/>
          </w:tcPr>
          <w:p>
            <w:pPr>
              <w:jc w:val="center"/>
              <w:rPr>
                <w:rFonts w:ascii="宋体" w:hAnsi="宋体" w:eastAsia="宋体" w:cs="Arial"/>
                <w:sz w:val="22"/>
              </w:rPr>
            </w:pPr>
            <w:r>
              <w:rPr>
                <w:rFonts w:hint="eastAsia" w:ascii="宋体" w:hAnsi="宋体" w:eastAsia="宋体"/>
                <w:sz w:val="22"/>
              </w:rPr>
              <w:t>服务要求</w:t>
            </w:r>
          </w:p>
        </w:tc>
        <w:tc>
          <w:tcPr>
            <w:tcW w:w="6628" w:type="dxa"/>
            <w:vAlign w:val="center"/>
          </w:tcPr>
          <w:p>
            <w:pPr>
              <w:rPr>
                <w:rFonts w:ascii="宋体" w:hAnsi="宋体" w:eastAsia="宋体"/>
                <w:sz w:val="22"/>
              </w:rPr>
            </w:pPr>
            <w:r>
              <w:rPr>
                <w:rFonts w:hint="eastAsia" w:ascii="宋体" w:hAnsi="宋体" w:eastAsia="宋体"/>
                <w:sz w:val="22"/>
              </w:rPr>
              <w:t>三年硬件保修及版本升级服务，三年原厂服务。</w:t>
            </w:r>
          </w:p>
        </w:tc>
        <w:tc>
          <w:tcPr>
            <w:tcW w:w="1037" w:type="dxa"/>
            <w:vAlign w:val="center"/>
          </w:tcPr>
          <w:p>
            <w:pPr>
              <w:widowControl/>
              <w:jc w:val="center"/>
              <w:rPr>
                <w:rFonts w:ascii="宋体" w:hAnsi="宋体" w:eastAsia="宋体" w:cs="宋体"/>
                <w:color w:val="000000"/>
                <w:kern w:val="0"/>
                <w:sz w:val="22"/>
              </w:rPr>
            </w:pPr>
          </w:p>
        </w:tc>
      </w:tr>
    </w:tbl>
    <w:p>
      <w:pPr>
        <w:pStyle w:val="2"/>
      </w:pPr>
    </w:p>
    <w:p>
      <w:pPr>
        <w:rPr>
          <w:rFonts w:ascii="宋体" w:hAnsi="宋体" w:eastAsia="宋体"/>
          <w:b/>
          <w:bCs/>
          <w:sz w:val="28"/>
          <w:szCs w:val="28"/>
        </w:rPr>
      </w:pPr>
      <w:r>
        <w:rPr>
          <w:rFonts w:hint="eastAsia" w:ascii="宋体" w:hAnsi="宋体" w:eastAsia="宋体"/>
          <w:b/>
          <w:bCs/>
          <w:sz w:val="28"/>
          <w:szCs w:val="28"/>
        </w:rPr>
        <w:t>3）服务器</w:t>
      </w:r>
      <w:r>
        <w:rPr>
          <w:rFonts w:ascii="宋体" w:hAnsi="宋体" w:eastAsia="宋体"/>
          <w:b/>
          <w:bCs/>
          <w:sz w:val="28"/>
          <w:szCs w:val="28"/>
        </w:rPr>
        <w:t>HBA卡</w:t>
      </w:r>
    </w:p>
    <w:tbl>
      <w:tblPr>
        <w:tblStyle w:val="29"/>
        <w:tblW w:w="9072"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6612"/>
        <w:gridCol w:w="1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4" w:hRule="atLeast"/>
        </w:trPr>
        <w:tc>
          <w:tcPr>
            <w:tcW w:w="1384" w:type="dxa"/>
            <w:shd w:val="clear" w:color="000000" w:fill="AEAAAA"/>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项目</w:t>
            </w:r>
          </w:p>
        </w:tc>
        <w:tc>
          <w:tcPr>
            <w:tcW w:w="6612" w:type="dxa"/>
            <w:shd w:val="clear" w:color="000000" w:fill="AEAAAA"/>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技术规格要求</w:t>
            </w:r>
          </w:p>
        </w:tc>
        <w:tc>
          <w:tcPr>
            <w:tcW w:w="1076" w:type="dxa"/>
            <w:shd w:val="clear" w:color="000000" w:fill="AEAAAA"/>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评审点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384" w:type="dxa"/>
            <w:vMerge w:val="restart"/>
            <w:shd w:val="clear" w:color="auto" w:fill="auto"/>
            <w:vAlign w:val="center"/>
          </w:tcPr>
          <w:p>
            <w:pPr>
              <w:jc w:val="center"/>
              <w:rPr>
                <w:rFonts w:ascii="宋体" w:hAnsi="宋体" w:eastAsia="宋体"/>
                <w:sz w:val="22"/>
              </w:rPr>
            </w:pPr>
            <w:r>
              <w:rPr>
                <w:rFonts w:hint="eastAsia" w:ascii="宋体" w:hAnsi="宋体" w:eastAsia="宋体"/>
                <w:sz w:val="22"/>
              </w:rPr>
              <w:t>硬件规格</w:t>
            </w:r>
          </w:p>
        </w:tc>
        <w:tc>
          <w:tcPr>
            <w:tcW w:w="6612" w:type="dxa"/>
            <w:shd w:val="clear" w:color="auto" w:fill="auto"/>
            <w:vAlign w:val="center"/>
          </w:tcPr>
          <w:p>
            <w:pPr>
              <w:jc w:val="center"/>
              <w:rPr>
                <w:rFonts w:ascii="宋体" w:hAnsi="宋体" w:eastAsia="宋体"/>
                <w:sz w:val="22"/>
              </w:rPr>
            </w:pPr>
            <w:r>
              <w:rPr>
                <w:rFonts w:hint="eastAsia" w:ascii="宋体" w:hAnsi="宋体" w:eastAsia="宋体"/>
                <w:sz w:val="22"/>
              </w:rPr>
              <w:t>单口光纤通道卡</w:t>
            </w:r>
          </w:p>
        </w:tc>
        <w:tc>
          <w:tcPr>
            <w:tcW w:w="1076" w:type="dxa"/>
            <w:shd w:val="clear" w:color="auto" w:fill="auto"/>
            <w:vAlign w:val="center"/>
          </w:tcPr>
          <w:p>
            <w:pPr>
              <w:jc w:val="center"/>
              <w:rPr>
                <w:rFonts w:ascii="宋体" w:hAnsi="宋体" w:eastAsia="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384" w:type="dxa"/>
            <w:vMerge w:val="continue"/>
            <w:vAlign w:val="center"/>
          </w:tcPr>
          <w:p>
            <w:pPr>
              <w:jc w:val="center"/>
              <w:rPr>
                <w:rFonts w:ascii="宋体" w:hAnsi="宋体" w:eastAsia="宋体"/>
                <w:sz w:val="22"/>
              </w:rPr>
            </w:pPr>
          </w:p>
        </w:tc>
        <w:tc>
          <w:tcPr>
            <w:tcW w:w="6612" w:type="dxa"/>
            <w:shd w:val="clear" w:color="auto" w:fill="auto"/>
            <w:vAlign w:val="center"/>
          </w:tcPr>
          <w:p>
            <w:pPr>
              <w:jc w:val="center"/>
              <w:rPr>
                <w:rFonts w:ascii="宋体" w:hAnsi="宋体" w:eastAsia="宋体"/>
                <w:sz w:val="22"/>
              </w:rPr>
            </w:pPr>
            <w:r>
              <w:rPr>
                <w:rFonts w:hint="eastAsia" w:ascii="宋体" w:hAnsi="宋体" w:eastAsia="宋体"/>
                <w:sz w:val="22"/>
              </w:rPr>
              <w:t>8Gb光纤通道</w:t>
            </w:r>
          </w:p>
        </w:tc>
        <w:tc>
          <w:tcPr>
            <w:tcW w:w="1076" w:type="dxa"/>
            <w:shd w:val="clear" w:color="auto" w:fill="auto"/>
            <w:vAlign w:val="center"/>
          </w:tcPr>
          <w:p>
            <w:pPr>
              <w:jc w:val="center"/>
              <w:rPr>
                <w:rFonts w:ascii="宋体" w:hAnsi="宋体" w:eastAsia="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384" w:type="dxa"/>
            <w:vMerge w:val="continue"/>
            <w:vAlign w:val="center"/>
          </w:tcPr>
          <w:p>
            <w:pPr>
              <w:jc w:val="center"/>
              <w:rPr>
                <w:rFonts w:ascii="宋体" w:hAnsi="宋体" w:eastAsia="宋体"/>
                <w:sz w:val="22"/>
              </w:rPr>
            </w:pPr>
          </w:p>
        </w:tc>
        <w:tc>
          <w:tcPr>
            <w:tcW w:w="6612" w:type="dxa"/>
            <w:shd w:val="clear" w:color="auto" w:fill="auto"/>
            <w:vAlign w:val="center"/>
          </w:tcPr>
          <w:p>
            <w:pPr>
              <w:jc w:val="center"/>
              <w:rPr>
                <w:rFonts w:ascii="宋体" w:hAnsi="宋体" w:eastAsia="宋体"/>
                <w:sz w:val="22"/>
              </w:rPr>
            </w:pPr>
            <w:r>
              <w:rPr>
                <w:rFonts w:hint="eastAsia" w:ascii="宋体" w:hAnsi="宋体" w:eastAsia="宋体"/>
                <w:sz w:val="22"/>
              </w:rPr>
              <w:t>总线接口PCle2.0*4</w:t>
            </w:r>
          </w:p>
        </w:tc>
        <w:tc>
          <w:tcPr>
            <w:tcW w:w="1076" w:type="dxa"/>
            <w:shd w:val="clear" w:color="auto" w:fill="auto"/>
            <w:vAlign w:val="center"/>
          </w:tcPr>
          <w:p>
            <w:pPr>
              <w:jc w:val="center"/>
              <w:rPr>
                <w:rFonts w:ascii="宋体" w:hAnsi="宋体" w:eastAsia="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384" w:type="dxa"/>
            <w:vMerge w:val="continue"/>
            <w:vAlign w:val="center"/>
          </w:tcPr>
          <w:p>
            <w:pPr>
              <w:jc w:val="center"/>
              <w:rPr>
                <w:rFonts w:ascii="宋体" w:hAnsi="宋体" w:eastAsia="宋体"/>
                <w:sz w:val="22"/>
              </w:rPr>
            </w:pPr>
          </w:p>
        </w:tc>
        <w:tc>
          <w:tcPr>
            <w:tcW w:w="6612" w:type="dxa"/>
            <w:shd w:val="clear" w:color="auto" w:fill="auto"/>
            <w:vAlign w:val="center"/>
          </w:tcPr>
          <w:p>
            <w:pPr>
              <w:jc w:val="center"/>
              <w:rPr>
                <w:rFonts w:ascii="宋体" w:hAnsi="宋体" w:eastAsia="宋体"/>
                <w:sz w:val="22"/>
              </w:rPr>
            </w:pPr>
            <w:r>
              <w:rPr>
                <w:rFonts w:hint="eastAsia" w:ascii="宋体" w:hAnsi="宋体" w:eastAsia="宋体"/>
                <w:sz w:val="22"/>
              </w:rPr>
              <w:t>带SFP+,多模光模块，FC</w:t>
            </w:r>
          </w:p>
        </w:tc>
        <w:tc>
          <w:tcPr>
            <w:tcW w:w="1076" w:type="dxa"/>
            <w:shd w:val="clear" w:color="auto" w:fill="auto"/>
            <w:vAlign w:val="center"/>
          </w:tcPr>
          <w:p>
            <w:pPr>
              <w:jc w:val="center"/>
              <w:rPr>
                <w:rFonts w:ascii="宋体" w:hAnsi="宋体" w:eastAsia="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384" w:type="dxa"/>
            <w:vMerge w:val="continue"/>
            <w:vAlign w:val="center"/>
          </w:tcPr>
          <w:p>
            <w:pPr>
              <w:jc w:val="center"/>
              <w:rPr>
                <w:rFonts w:ascii="宋体" w:hAnsi="宋体" w:eastAsia="宋体"/>
                <w:sz w:val="22"/>
              </w:rPr>
            </w:pPr>
          </w:p>
        </w:tc>
        <w:tc>
          <w:tcPr>
            <w:tcW w:w="6612" w:type="dxa"/>
            <w:shd w:val="clear" w:color="auto" w:fill="auto"/>
            <w:vAlign w:val="center"/>
          </w:tcPr>
          <w:p>
            <w:pPr>
              <w:jc w:val="center"/>
              <w:rPr>
                <w:rFonts w:ascii="宋体" w:hAnsi="宋体" w:eastAsia="宋体"/>
                <w:sz w:val="22"/>
              </w:rPr>
            </w:pPr>
            <w:r>
              <w:rPr>
                <w:rFonts w:hint="eastAsia" w:ascii="宋体" w:hAnsi="宋体" w:eastAsia="宋体"/>
                <w:sz w:val="22"/>
              </w:rPr>
              <w:t>适用于华为2、5系列服务器</w:t>
            </w:r>
          </w:p>
        </w:tc>
        <w:tc>
          <w:tcPr>
            <w:tcW w:w="1076" w:type="dxa"/>
            <w:shd w:val="clear" w:color="auto" w:fill="auto"/>
            <w:vAlign w:val="center"/>
          </w:tcPr>
          <w:p>
            <w:pPr>
              <w:jc w:val="center"/>
              <w:rPr>
                <w:rFonts w:ascii="宋体" w:hAnsi="宋体" w:eastAsia="宋体"/>
                <w:sz w:val="22"/>
              </w:rPr>
            </w:pPr>
          </w:p>
        </w:tc>
      </w:tr>
    </w:tbl>
    <w:p>
      <w:pPr>
        <w:rPr>
          <w:rFonts w:ascii="宋体" w:hAnsi="宋体" w:eastAsia="宋体"/>
        </w:rPr>
      </w:pPr>
    </w:p>
    <w:p>
      <w:pPr>
        <w:spacing w:line="360" w:lineRule="auto"/>
        <w:ind w:firstLine="480" w:firstLineChars="200"/>
        <w:rPr>
          <w:rFonts w:ascii="宋体" w:hAnsi="宋体" w:eastAsia="宋体"/>
          <w:sz w:val="24"/>
          <w:szCs w:val="24"/>
        </w:rPr>
      </w:pPr>
      <w:r>
        <w:rPr>
          <w:rFonts w:hint="eastAsia" w:ascii="宋体" w:hAnsi="宋体" w:eastAsia="宋体"/>
          <w:sz w:val="24"/>
          <w:szCs w:val="24"/>
        </w:rPr>
        <w:t>★为重要指标项，1项不满足或无法提供证明扣2分，非★项每项不满足或无法提供证明的扣1分，扣完为止。</w:t>
      </w:r>
    </w:p>
    <w:p>
      <w:pPr>
        <w:pStyle w:val="4"/>
        <w:numPr>
          <w:ilvl w:val="1"/>
          <w:numId w:val="2"/>
        </w:numPr>
        <w:jc w:val="left"/>
        <w:rPr>
          <w:rFonts w:ascii="宋体" w:hAnsi="宋体"/>
        </w:rPr>
      </w:pPr>
      <w:r>
        <w:rPr>
          <w:rFonts w:hint="eastAsia" w:ascii="宋体" w:hAnsi="宋体"/>
        </w:rPr>
        <w:t>实施要求</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依据</w:t>
      </w:r>
      <w:r>
        <w:rPr>
          <w:rFonts w:hint="eastAsia" w:ascii="宋体" w:hAnsi="宋体" w:eastAsia="宋体"/>
          <w:sz w:val="24"/>
          <w:szCs w:val="24"/>
        </w:rPr>
        <w:t>采购人</w:t>
      </w:r>
      <w:r>
        <w:rPr>
          <w:rFonts w:ascii="宋体" w:hAnsi="宋体" w:eastAsia="宋体"/>
          <w:sz w:val="24"/>
          <w:szCs w:val="24"/>
        </w:rPr>
        <w:t>现状情况和本次购买</w:t>
      </w:r>
      <w:r>
        <w:rPr>
          <w:rFonts w:hint="eastAsia" w:ascii="宋体" w:hAnsi="宋体" w:eastAsia="宋体"/>
          <w:sz w:val="24"/>
          <w:szCs w:val="24"/>
        </w:rPr>
        <w:t>设备</w:t>
      </w:r>
      <w:r>
        <w:rPr>
          <w:rFonts w:ascii="宋体" w:hAnsi="宋体" w:eastAsia="宋体"/>
          <w:sz w:val="24"/>
          <w:szCs w:val="24"/>
        </w:rPr>
        <w:t>，合理有效的进行全局总体规划，并最终实施交付</w:t>
      </w:r>
      <w:r>
        <w:rPr>
          <w:rFonts w:hint="eastAsia" w:ascii="宋体" w:hAnsi="宋体" w:eastAsia="宋体"/>
          <w:sz w:val="24"/>
          <w:szCs w:val="24"/>
        </w:rPr>
        <w:t>，</w:t>
      </w:r>
      <w:r>
        <w:rPr>
          <w:rFonts w:ascii="宋体" w:hAnsi="宋体" w:eastAsia="宋体"/>
          <w:sz w:val="24"/>
          <w:szCs w:val="24"/>
        </w:rPr>
        <w:t>按照总体规划方案进行逐一部署和迁移割接。</w:t>
      </w:r>
    </w:p>
    <w:p>
      <w:pPr>
        <w:spacing w:line="360" w:lineRule="auto"/>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投标人对所投货物技术响应提供承诺，如所供货物技术参数与投标文件中技术参数不符，中标人自行承担法律责任。</w:t>
      </w:r>
    </w:p>
    <w:p>
      <w:pPr>
        <w:spacing w:line="360" w:lineRule="auto"/>
        <w:ind w:firstLine="480" w:firstLineChars="200"/>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投标人必须针对技术要求及设备参数进行逐条响应说明。所有要求提供的截图及证明文件，都必须提供真实的证明材料并加盖投标人公章。</w:t>
      </w:r>
    </w:p>
    <w:p>
      <w:pPr>
        <w:spacing w:line="360" w:lineRule="auto"/>
        <w:ind w:firstLine="480" w:firstLineChars="200"/>
        <w:rPr>
          <w:rFonts w:ascii="宋体" w:hAnsi="宋体" w:eastAsia="宋体"/>
          <w:sz w:val="24"/>
          <w:szCs w:val="24"/>
        </w:rPr>
      </w:pPr>
      <w:r>
        <w:rPr>
          <w:rFonts w:hint="eastAsia" w:ascii="宋体" w:hAnsi="宋体" w:eastAsia="宋体"/>
          <w:sz w:val="24"/>
          <w:szCs w:val="24"/>
        </w:rPr>
        <w:t>4）测试及验收方案：</w:t>
      </w:r>
      <w:r>
        <w:rPr>
          <w:rFonts w:ascii="宋体" w:hAnsi="宋体" w:eastAsia="宋体"/>
          <w:sz w:val="24"/>
          <w:szCs w:val="24"/>
        </w:rPr>
        <w:t>测试及验收方案完整全面、科学合理，测试方案能结合项目建设情况，对系统的重难点有分部、分项目的测试验收计划，项目验收流程清楚。</w:t>
      </w:r>
    </w:p>
    <w:p>
      <w:pPr>
        <w:spacing w:line="360" w:lineRule="auto"/>
        <w:ind w:firstLine="480" w:firstLineChars="200"/>
        <w:rPr>
          <w:rFonts w:ascii="宋体" w:hAnsi="宋体" w:eastAsia="宋体"/>
          <w:sz w:val="24"/>
        </w:rPr>
      </w:pPr>
      <w:r>
        <w:rPr>
          <w:rFonts w:hint="eastAsia" w:ascii="宋体" w:hAnsi="宋体" w:eastAsia="宋体"/>
          <w:sz w:val="24"/>
          <w:szCs w:val="24"/>
        </w:rPr>
        <w:t>5）售后服务和培训方案：</w:t>
      </w:r>
      <w:r>
        <w:rPr>
          <w:rFonts w:ascii="宋体" w:hAnsi="宋体" w:eastAsia="宋体"/>
          <w:sz w:val="24"/>
          <w:szCs w:val="24"/>
        </w:rPr>
        <w:t>投标人在省内有完善的服务网点，针对系统和架构优化调整后提供详细的巡检方案（包含计划、人员）及应急响应措施。提供7×24小时售后技术支持，有完善的故障解决方案和巡检方案。</w:t>
      </w:r>
    </w:p>
    <w:p>
      <w:pPr>
        <w:pStyle w:val="3"/>
        <w:numPr>
          <w:ilvl w:val="0"/>
          <w:numId w:val="2"/>
        </w:numPr>
        <w:jc w:val="left"/>
        <w:rPr>
          <w:rFonts w:ascii="宋体" w:hAnsi="宋体"/>
        </w:rPr>
      </w:pPr>
      <w:r>
        <w:rPr>
          <w:rFonts w:hint="eastAsia" w:ascii="宋体" w:hAnsi="宋体"/>
        </w:rPr>
        <w:t>评分规则</w:t>
      </w:r>
    </w:p>
    <w:tbl>
      <w:tblPr>
        <w:tblStyle w:val="29"/>
        <w:tblW w:w="90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125"/>
        <w:gridCol w:w="627"/>
        <w:gridCol w:w="6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 w:hRule="atLeast"/>
          <w:jc w:val="center"/>
        </w:trPr>
        <w:tc>
          <w:tcPr>
            <w:tcW w:w="860" w:type="dxa"/>
            <w:vAlign w:val="center"/>
          </w:tcPr>
          <w:p>
            <w:pPr>
              <w:spacing w:line="360" w:lineRule="auto"/>
              <w:ind w:left="-105" w:leftChars="-50" w:right="-105" w:rightChars="-50"/>
              <w:jc w:val="center"/>
              <w:rPr>
                <w:rFonts w:ascii="宋体" w:hAnsi="宋体" w:eastAsia="宋体"/>
                <w:color w:val="0000FF"/>
                <w:spacing w:val="-10"/>
                <w:szCs w:val="21"/>
              </w:rPr>
            </w:pPr>
            <w:bookmarkStart w:id="0" w:name="OLE_LINK2"/>
            <w:r>
              <w:rPr>
                <w:rFonts w:ascii="宋体" w:hAnsi="宋体" w:eastAsia="宋体"/>
                <w:color w:val="0000FF"/>
                <w:spacing w:val="-10"/>
                <w:szCs w:val="21"/>
              </w:rPr>
              <w:t>评标项目</w:t>
            </w:r>
          </w:p>
        </w:tc>
        <w:tc>
          <w:tcPr>
            <w:tcW w:w="1125" w:type="dxa"/>
            <w:vAlign w:val="center"/>
          </w:tcPr>
          <w:p>
            <w:pPr>
              <w:spacing w:line="360" w:lineRule="auto"/>
              <w:ind w:left="-105" w:leftChars="-50" w:right="-105" w:rightChars="-50"/>
              <w:jc w:val="center"/>
              <w:rPr>
                <w:rFonts w:ascii="宋体" w:hAnsi="宋体" w:eastAsia="宋体"/>
                <w:color w:val="0000FF"/>
                <w:spacing w:val="-10"/>
                <w:szCs w:val="21"/>
              </w:rPr>
            </w:pPr>
            <w:r>
              <w:rPr>
                <w:rFonts w:ascii="宋体" w:hAnsi="宋体" w:eastAsia="宋体"/>
                <w:color w:val="0000FF"/>
                <w:spacing w:val="-10"/>
                <w:szCs w:val="21"/>
              </w:rPr>
              <w:t>评标分项</w:t>
            </w:r>
          </w:p>
        </w:tc>
        <w:tc>
          <w:tcPr>
            <w:tcW w:w="627" w:type="dxa"/>
            <w:vAlign w:val="center"/>
          </w:tcPr>
          <w:p>
            <w:pPr>
              <w:spacing w:line="360" w:lineRule="auto"/>
              <w:ind w:left="-105" w:leftChars="-50" w:right="-105" w:rightChars="-50"/>
              <w:jc w:val="center"/>
              <w:rPr>
                <w:rFonts w:ascii="宋体" w:hAnsi="宋体" w:eastAsia="宋体"/>
                <w:color w:val="0000FF"/>
                <w:spacing w:val="-10"/>
                <w:szCs w:val="21"/>
              </w:rPr>
            </w:pPr>
            <w:r>
              <w:rPr>
                <w:rFonts w:hint="eastAsia" w:ascii="宋体" w:hAnsi="宋体" w:eastAsia="宋体"/>
                <w:color w:val="0000FF"/>
                <w:spacing w:val="-10"/>
                <w:szCs w:val="21"/>
              </w:rPr>
              <w:t>分值</w:t>
            </w:r>
          </w:p>
        </w:tc>
        <w:tc>
          <w:tcPr>
            <w:tcW w:w="6460" w:type="dxa"/>
            <w:vAlign w:val="center"/>
          </w:tcPr>
          <w:p>
            <w:pPr>
              <w:spacing w:line="360" w:lineRule="auto"/>
              <w:ind w:left="-105" w:leftChars="-50" w:right="-105" w:rightChars="-50"/>
              <w:jc w:val="center"/>
              <w:rPr>
                <w:rFonts w:ascii="宋体" w:hAnsi="宋体" w:eastAsia="宋体"/>
                <w:color w:val="0000FF"/>
                <w:spacing w:val="-10"/>
                <w:szCs w:val="21"/>
              </w:rPr>
            </w:pPr>
            <w:r>
              <w:rPr>
                <w:rFonts w:ascii="宋体" w:hAnsi="宋体" w:eastAsia="宋体"/>
                <w:color w:val="0000FF"/>
                <w:spacing w:val="-10"/>
                <w:szCs w:val="21"/>
              </w:rPr>
              <w:t>子项目及分值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7" w:hRule="atLeast"/>
          <w:jc w:val="center"/>
        </w:trPr>
        <w:tc>
          <w:tcPr>
            <w:tcW w:w="860" w:type="dxa"/>
            <w:vAlign w:val="center"/>
          </w:tcPr>
          <w:p>
            <w:pPr>
              <w:spacing w:line="360" w:lineRule="auto"/>
              <w:ind w:left="-105" w:leftChars="-50" w:right="-105" w:rightChars="-50"/>
              <w:jc w:val="center"/>
              <w:rPr>
                <w:rFonts w:ascii="宋体" w:hAnsi="宋体" w:eastAsia="宋体"/>
                <w:color w:val="0000FF"/>
                <w:spacing w:val="-10"/>
                <w:szCs w:val="21"/>
              </w:rPr>
            </w:pPr>
            <w:r>
              <w:rPr>
                <w:rFonts w:hint="eastAsia" w:ascii="宋体" w:hAnsi="宋体" w:eastAsia="宋体"/>
                <w:color w:val="0000FF"/>
                <w:spacing w:val="-10"/>
                <w:szCs w:val="21"/>
              </w:rPr>
              <w:t>报价得分</w:t>
            </w:r>
          </w:p>
          <w:p>
            <w:pPr>
              <w:spacing w:line="360" w:lineRule="auto"/>
              <w:ind w:left="-105" w:leftChars="-50" w:right="-105" w:rightChars="-50"/>
              <w:jc w:val="center"/>
              <w:rPr>
                <w:rFonts w:ascii="宋体" w:hAnsi="宋体" w:eastAsia="宋体"/>
                <w:color w:val="0000FF"/>
                <w:spacing w:val="-10"/>
                <w:szCs w:val="21"/>
              </w:rPr>
            </w:pPr>
            <w:r>
              <w:rPr>
                <w:rFonts w:hint="eastAsia" w:ascii="宋体" w:hAnsi="宋体" w:eastAsia="宋体"/>
                <w:color w:val="0000FF"/>
                <w:spacing w:val="-10"/>
                <w:szCs w:val="21"/>
              </w:rPr>
              <w:t>（50）</w:t>
            </w:r>
          </w:p>
        </w:tc>
        <w:tc>
          <w:tcPr>
            <w:tcW w:w="1125" w:type="dxa"/>
            <w:vAlign w:val="center"/>
          </w:tcPr>
          <w:p>
            <w:pPr>
              <w:spacing w:line="360" w:lineRule="auto"/>
              <w:ind w:left="-105" w:leftChars="-50" w:right="-105" w:rightChars="-50"/>
              <w:jc w:val="center"/>
              <w:rPr>
                <w:rFonts w:ascii="宋体" w:hAnsi="宋体" w:eastAsia="宋体"/>
                <w:color w:val="0000FF"/>
                <w:spacing w:val="-10"/>
                <w:szCs w:val="21"/>
              </w:rPr>
            </w:pPr>
            <w:r>
              <w:rPr>
                <w:rFonts w:hint="eastAsia" w:ascii="宋体" w:hAnsi="宋体" w:eastAsia="宋体"/>
                <w:color w:val="0000FF"/>
                <w:spacing w:val="-10"/>
                <w:szCs w:val="21"/>
              </w:rPr>
              <w:t>/</w:t>
            </w:r>
          </w:p>
        </w:tc>
        <w:tc>
          <w:tcPr>
            <w:tcW w:w="627" w:type="dxa"/>
            <w:vAlign w:val="center"/>
          </w:tcPr>
          <w:p>
            <w:pPr>
              <w:spacing w:line="360" w:lineRule="auto"/>
              <w:ind w:left="-105" w:leftChars="-50" w:right="-105" w:rightChars="-50"/>
              <w:jc w:val="center"/>
              <w:rPr>
                <w:rFonts w:ascii="宋体" w:hAnsi="宋体" w:eastAsia="宋体"/>
                <w:color w:val="0000FF"/>
                <w:spacing w:val="-10"/>
                <w:szCs w:val="21"/>
              </w:rPr>
            </w:pPr>
            <w:r>
              <w:rPr>
                <w:rFonts w:hint="eastAsia" w:ascii="宋体" w:hAnsi="宋体" w:eastAsia="宋体"/>
                <w:color w:val="0000FF"/>
                <w:spacing w:val="-10"/>
                <w:szCs w:val="21"/>
              </w:rPr>
              <w:t>50分</w:t>
            </w:r>
          </w:p>
        </w:tc>
        <w:tc>
          <w:tcPr>
            <w:tcW w:w="6460" w:type="dxa"/>
            <w:vAlign w:val="center"/>
          </w:tcPr>
          <w:p>
            <w:pPr>
              <w:spacing w:line="360" w:lineRule="auto"/>
              <w:ind w:left="-105" w:leftChars="-50" w:right="-105" w:rightChars="-50"/>
              <w:rPr>
                <w:rFonts w:ascii="宋体" w:hAnsi="宋体" w:eastAsia="宋体"/>
                <w:color w:val="0000FF"/>
                <w:spacing w:val="-10"/>
                <w:szCs w:val="21"/>
              </w:rPr>
            </w:pPr>
            <w:r>
              <w:rPr>
                <w:rFonts w:hint="eastAsia" w:ascii="宋体" w:hAnsi="宋体" w:eastAsia="宋体"/>
                <w:color w:val="0000FF"/>
                <w:spacing w:val="-10"/>
                <w:szCs w:val="21"/>
              </w:rPr>
              <w:t>价格分统一采用低价优先法计算，即满足招标文件要求且投标价格最低的有效投标报价为评标基准价，其价格分为满分。其它投标人的价格分统一按照下列公式计算：投标报价得分=（评标基准价/投标报价）*价格权值</w:t>
            </w:r>
          </w:p>
          <w:p>
            <w:pPr>
              <w:spacing w:line="360" w:lineRule="auto"/>
              <w:ind w:left="-105" w:leftChars="-50" w:right="-105" w:rightChars="-50"/>
              <w:rPr>
                <w:rFonts w:ascii="宋体" w:hAnsi="宋体" w:eastAsia="宋体"/>
                <w:color w:val="0000FF"/>
                <w:spacing w:val="-10"/>
                <w:szCs w:val="21"/>
              </w:rPr>
            </w:pPr>
            <w:r>
              <w:rPr>
                <w:rFonts w:hint="eastAsia" w:ascii="宋体" w:hAnsi="宋体" w:eastAsia="宋体"/>
                <w:color w:val="0000FF"/>
                <w:spacing w:val="-10"/>
                <w:szCs w:val="21"/>
              </w:rPr>
              <w:t>(根据国家及武汉市关于促进中小型企业发展暂行办法，对小型和微型企业产品的价格给予6%的扣除，用扣除后的价格参与评审；后附中小企业声明函)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jc w:val="center"/>
        </w:trPr>
        <w:tc>
          <w:tcPr>
            <w:tcW w:w="860" w:type="dxa"/>
            <w:vMerge w:val="restart"/>
            <w:vAlign w:val="center"/>
          </w:tcPr>
          <w:p>
            <w:pPr>
              <w:spacing w:line="360" w:lineRule="auto"/>
              <w:ind w:left="-105" w:leftChars="-50" w:right="-105" w:rightChars="-50"/>
              <w:jc w:val="center"/>
              <w:rPr>
                <w:rFonts w:ascii="宋体" w:hAnsi="宋体" w:eastAsia="宋体"/>
                <w:color w:val="0000FF"/>
                <w:spacing w:val="-10"/>
                <w:szCs w:val="21"/>
              </w:rPr>
            </w:pPr>
            <w:r>
              <w:rPr>
                <w:rFonts w:hint="eastAsia" w:ascii="宋体" w:hAnsi="宋体" w:eastAsia="宋体"/>
                <w:color w:val="0000FF"/>
                <w:spacing w:val="-10"/>
                <w:szCs w:val="21"/>
              </w:rPr>
              <w:t>商务得分（10）</w:t>
            </w:r>
          </w:p>
        </w:tc>
        <w:tc>
          <w:tcPr>
            <w:tcW w:w="1125" w:type="dxa"/>
            <w:vAlign w:val="center"/>
          </w:tcPr>
          <w:p>
            <w:pPr>
              <w:spacing w:line="360" w:lineRule="auto"/>
              <w:ind w:left="-105" w:leftChars="-50" w:right="-105" w:rightChars="-50"/>
              <w:jc w:val="center"/>
              <w:rPr>
                <w:rFonts w:ascii="宋体" w:hAnsi="宋体" w:eastAsia="宋体"/>
                <w:color w:val="0000FF"/>
                <w:spacing w:val="-10"/>
                <w:szCs w:val="21"/>
              </w:rPr>
            </w:pPr>
            <w:r>
              <w:rPr>
                <w:rFonts w:hint="eastAsia" w:ascii="宋体" w:hAnsi="宋体" w:eastAsia="宋体"/>
                <w:color w:val="0000FF"/>
                <w:spacing w:val="-10"/>
                <w:szCs w:val="21"/>
              </w:rPr>
              <w:t>对招标文件的响应程度</w:t>
            </w:r>
          </w:p>
        </w:tc>
        <w:tc>
          <w:tcPr>
            <w:tcW w:w="627" w:type="dxa"/>
            <w:vAlign w:val="center"/>
          </w:tcPr>
          <w:p>
            <w:pPr>
              <w:spacing w:line="360" w:lineRule="auto"/>
              <w:ind w:left="-105" w:leftChars="-50" w:right="-105" w:rightChars="-50"/>
              <w:jc w:val="center"/>
              <w:rPr>
                <w:rFonts w:ascii="宋体" w:hAnsi="宋体" w:eastAsia="宋体"/>
                <w:color w:val="0000FF"/>
                <w:spacing w:val="-10"/>
                <w:szCs w:val="21"/>
              </w:rPr>
            </w:pPr>
            <w:r>
              <w:rPr>
                <w:rFonts w:hint="eastAsia" w:ascii="宋体" w:hAnsi="宋体" w:eastAsia="宋体"/>
                <w:color w:val="0000FF"/>
                <w:spacing w:val="-10"/>
                <w:szCs w:val="21"/>
              </w:rPr>
              <w:t>3分</w:t>
            </w:r>
          </w:p>
        </w:tc>
        <w:tc>
          <w:tcPr>
            <w:tcW w:w="6460" w:type="dxa"/>
            <w:vAlign w:val="center"/>
          </w:tcPr>
          <w:p>
            <w:pPr>
              <w:spacing w:line="360" w:lineRule="auto"/>
              <w:ind w:left="-105" w:leftChars="-50" w:right="-105" w:rightChars="-50"/>
              <w:rPr>
                <w:rFonts w:ascii="宋体" w:hAnsi="宋体" w:eastAsia="宋体"/>
                <w:color w:val="0000FF"/>
                <w:spacing w:val="-10"/>
                <w:szCs w:val="21"/>
              </w:rPr>
            </w:pPr>
            <w:r>
              <w:rPr>
                <w:rFonts w:hint="eastAsia" w:ascii="宋体" w:hAnsi="宋体" w:eastAsia="宋体"/>
                <w:color w:val="0000FF"/>
                <w:spacing w:val="-10"/>
                <w:szCs w:val="21"/>
              </w:rPr>
              <w:t>投标文件编制完整，逐页有连续页码、有详细目录、目录与有关材料装订顺序对应清晰、查阅方便，按招标要求进行比较，优得3分，一般得</w:t>
            </w:r>
          </w:p>
          <w:p>
            <w:pPr>
              <w:spacing w:line="360" w:lineRule="auto"/>
              <w:ind w:left="-105" w:leftChars="-50" w:right="-105" w:rightChars="-50"/>
              <w:rPr>
                <w:rFonts w:ascii="宋体" w:hAnsi="宋体" w:eastAsia="宋体"/>
                <w:color w:val="0000FF"/>
                <w:spacing w:val="-10"/>
                <w:szCs w:val="21"/>
              </w:rPr>
            </w:pPr>
            <w:r>
              <w:rPr>
                <w:rFonts w:hint="eastAsia" w:ascii="宋体" w:hAnsi="宋体" w:eastAsia="宋体"/>
                <w:color w:val="0000FF"/>
                <w:spacing w:val="-10"/>
                <w:szCs w:val="21"/>
              </w:rPr>
              <w:t>1分，差得0分。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jc w:val="center"/>
        </w:trPr>
        <w:tc>
          <w:tcPr>
            <w:tcW w:w="860" w:type="dxa"/>
            <w:vMerge w:val="continue"/>
            <w:vAlign w:val="center"/>
          </w:tcPr>
          <w:p>
            <w:pPr>
              <w:spacing w:line="360" w:lineRule="auto"/>
              <w:ind w:left="-105" w:leftChars="-50" w:right="-105" w:rightChars="-50"/>
              <w:jc w:val="center"/>
              <w:rPr>
                <w:rFonts w:ascii="宋体" w:hAnsi="宋体" w:eastAsia="宋体"/>
                <w:color w:val="0000FF"/>
                <w:spacing w:val="-10"/>
                <w:szCs w:val="21"/>
              </w:rPr>
            </w:pPr>
          </w:p>
        </w:tc>
        <w:tc>
          <w:tcPr>
            <w:tcW w:w="1125" w:type="dxa"/>
            <w:vAlign w:val="center"/>
          </w:tcPr>
          <w:p>
            <w:pPr>
              <w:spacing w:line="360" w:lineRule="auto"/>
              <w:ind w:left="-105" w:leftChars="-50" w:right="-105" w:rightChars="-50"/>
              <w:jc w:val="center"/>
              <w:rPr>
                <w:rFonts w:ascii="宋体" w:hAnsi="宋体" w:eastAsia="宋体"/>
                <w:color w:val="0000FF"/>
                <w:spacing w:val="-10"/>
                <w:szCs w:val="21"/>
              </w:rPr>
            </w:pPr>
            <w:r>
              <w:rPr>
                <w:rFonts w:hint="eastAsia" w:ascii="宋体" w:hAnsi="宋体" w:eastAsia="宋体"/>
                <w:color w:val="0000FF"/>
                <w:spacing w:val="-10"/>
                <w:szCs w:val="21"/>
              </w:rPr>
              <w:t>团队实力</w:t>
            </w:r>
          </w:p>
        </w:tc>
        <w:tc>
          <w:tcPr>
            <w:tcW w:w="627" w:type="dxa"/>
            <w:vAlign w:val="center"/>
          </w:tcPr>
          <w:p>
            <w:pPr>
              <w:spacing w:line="360" w:lineRule="auto"/>
              <w:ind w:left="-105" w:leftChars="-50" w:right="-105" w:rightChars="-50"/>
              <w:jc w:val="center"/>
              <w:rPr>
                <w:rFonts w:ascii="宋体" w:hAnsi="宋体" w:eastAsia="宋体"/>
                <w:color w:val="0000FF"/>
                <w:spacing w:val="-10"/>
                <w:szCs w:val="21"/>
              </w:rPr>
            </w:pPr>
            <w:r>
              <w:rPr>
                <w:rFonts w:hint="eastAsia" w:ascii="宋体" w:hAnsi="宋体" w:eastAsia="宋体"/>
                <w:color w:val="0000FF"/>
                <w:spacing w:val="-10"/>
                <w:szCs w:val="21"/>
              </w:rPr>
              <w:t>2分</w:t>
            </w:r>
          </w:p>
        </w:tc>
        <w:tc>
          <w:tcPr>
            <w:tcW w:w="6460" w:type="dxa"/>
            <w:vAlign w:val="center"/>
          </w:tcPr>
          <w:p>
            <w:pPr>
              <w:spacing w:line="360" w:lineRule="auto"/>
              <w:ind w:left="-105" w:leftChars="-50" w:right="-105" w:rightChars="-50"/>
              <w:rPr>
                <w:rFonts w:ascii="宋体" w:hAnsi="宋体" w:eastAsia="宋体"/>
                <w:color w:val="0000FF"/>
                <w:spacing w:val="-10"/>
                <w:szCs w:val="21"/>
              </w:rPr>
            </w:pPr>
            <w:r>
              <w:rPr>
                <w:rFonts w:hint="eastAsia" w:ascii="宋体" w:hAnsi="宋体" w:eastAsia="宋体"/>
                <w:color w:val="0000FF"/>
                <w:spacing w:val="-10"/>
                <w:szCs w:val="21"/>
              </w:rPr>
              <w:t>投标人配备的实施团队成员具有信息安全资质和项目服务经理资质认证的，每1名得0.5分，最多2分。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9" w:hRule="atLeast"/>
          <w:jc w:val="center"/>
        </w:trPr>
        <w:tc>
          <w:tcPr>
            <w:tcW w:w="860" w:type="dxa"/>
            <w:vMerge w:val="continue"/>
            <w:vAlign w:val="center"/>
          </w:tcPr>
          <w:p>
            <w:pPr>
              <w:spacing w:line="360" w:lineRule="auto"/>
              <w:ind w:left="-105" w:leftChars="-50" w:right="-105" w:rightChars="-50"/>
              <w:jc w:val="center"/>
              <w:rPr>
                <w:rFonts w:ascii="宋体" w:hAnsi="宋体" w:eastAsia="宋体"/>
                <w:color w:val="0000FF"/>
                <w:spacing w:val="-10"/>
                <w:szCs w:val="21"/>
              </w:rPr>
            </w:pPr>
          </w:p>
        </w:tc>
        <w:tc>
          <w:tcPr>
            <w:tcW w:w="1125" w:type="dxa"/>
            <w:vAlign w:val="center"/>
          </w:tcPr>
          <w:p>
            <w:pPr>
              <w:spacing w:line="360" w:lineRule="auto"/>
              <w:ind w:left="-105" w:leftChars="-50" w:right="-105" w:rightChars="-50"/>
              <w:jc w:val="center"/>
              <w:rPr>
                <w:rFonts w:ascii="宋体" w:hAnsi="宋体" w:eastAsia="宋体"/>
                <w:color w:val="0000FF"/>
                <w:spacing w:val="-10"/>
                <w:szCs w:val="21"/>
              </w:rPr>
            </w:pPr>
            <w:r>
              <w:rPr>
                <w:rFonts w:hint="eastAsia" w:ascii="宋体" w:hAnsi="宋体" w:eastAsia="宋体"/>
                <w:color w:val="0000FF"/>
                <w:spacing w:val="-10"/>
                <w:szCs w:val="21"/>
              </w:rPr>
              <w:t>资质认证</w:t>
            </w:r>
          </w:p>
        </w:tc>
        <w:tc>
          <w:tcPr>
            <w:tcW w:w="627" w:type="dxa"/>
            <w:vAlign w:val="center"/>
          </w:tcPr>
          <w:p>
            <w:pPr>
              <w:spacing w:line="360" w:lineRule="auto"/>
              <w:ind w:left="-105" w:leftChars="-50" w:right="-105" w:rightChars="-50"/>
              <w:jc w:val="center"/>
              <w:rPr>
                <w:rFonts w:ascii="宋体" w:hAnsi="宋体" w:eastAsia="宋体"/>
                <w:color w:val="0000FF"/>
                <w:spacing w:val="-10"/>
                <w:szCs w:val="21"/>
              </w:rPr>
            </w:pPr>
            <w:r>
              <w:rPr>
                <w:rFonts w:hint="eastAsia" w:ascii="宋体" w:hAnsi="宋体" w:eastAsia="宋体"/>
                <w:color w:val="0000FF"/>
                <w:spacing w:val="-10"/>
                <w:szCs w:val="21"/>
              </w:rPr>
              <w:t>5分</w:t>
            </w:r>
          </w:p>
        </w:tc>
        <w:tc>
          <w:tcPr>
            <w:tcW w:w="6460" w:type="dxa"/>
            <w:vAlign w:val="center"/>
          </w:tcPr>
          <w:p>
            <w:pPr>
              <w:spacing w:line="360" w:lineRule="auto"/>
              <w:ind w:left="-105" w:leftChars="-50" w:right="-105" w:rightChars="-50"/>
              <w:rPr>
                <w:rFonts w:ascii="宋体" w:hAnsi="宋体" w:eastAsia="宋体"/>
                <w:color w:val="0000FF"/>
                <w:spacing w:val="-10"/>
                <w:szCs w:val="21"/>
              </w:rPr>
            </w:pPr>
            <w:r>
              <w:rPr>
                <w:rFonts w:hint="eastAsia" w:ascii="宋体" w:hAnsi="宋体" w:eastAsia="宋体"/>
                <w:color w:val="0000FF"/>
                <w:spacing w:val="-10"/>
                <w:szCs w:val="21"/>
              </w:rPr>
              <w:t>投标人同时拥有ISO20000信息技术服务管理体系、ISO27000信息安全管理体系标准认证的得5分，拥有其中一项得2分，没有不得分。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4" w:hRule="atLeast"/>
          <w:jc w:val="center"/>
        </w:trPr>
        <w:tc>
          <w:tcPr>
            <w:tcW w:w="860" w:type="dxa"/>
            <w:vMerge w:val="restart"/>
            <w:vAlign w:val="center"/>
          </w:tcPr>
          <w:p>
            <w:pPr>
              <w:spacing w:line="360" w:lineRule="auto"/>
              <w:ind w:left="-105" w:leftChars="-50" w:right="-105" w:rightChars="-50"/>
              <w:rPr>
                <w:rFonts w:ascii="宋体" w:hAnsi="宋体" w:eastAsia="宋体"/>
                <w:color w:val="0000FF"/>
                <w:spacing w:val="-10"/>
                <w:szCs w:val="21"/>
              </w:rPr>
            </w:pPr>
            <w:r>
              <w:rPr>
                <w:rFonts w:hint="eastAsia" w:ascii="宋体" w:hAnsi="宋体" w:eastAsia="宋体"/>
                <w:color w:val="0000FF"/>
                <w:spacing w:val="-10"/>
                <w:szCs w:val="21"/>
              </w:rPr>
              <w:t>技术得分（40）</w:t>
            </w:r>
          </w:p>
        </w:tc>
        <w:tc>
          <w:tcPr>
            <w:tcW w:w="1125" w:type="dxa"/>
            <w:vAlign w:val="center"/>
          </w:tcPr>
          <w:p>
            <w:pPr>
              <w:spacing w:line="360" w:lineRule="auto"/>
              <w:ind w:left="-105" w:leftChars="-50" w:right="-105" w:rightChars="-50"/>
              <w:jc w:val="center"/>
              <w:rPr>
                <w:rFonts w:ascii="宋体" w:hAnsi="宋体" w:eastAsia="宋体"/>
                <w:color w:val="0000FF"/>
                <w:spacing w:val="-10"/>
                <w:szCs w:val="21"/>
              </w:rPr>
            </w:pPr>
            <w:r>
              <w:rPr>
                <w:rFonts w:hint="eastAsia" w:ascii="宋体" w:hAnsi="宋体" w:eastAsia="宋体"/>
                <w:color w:val="0000FF"/>
                <w:spacing w:val="-10"/>
                <w:szCs w:val="21"/>
              </w:rPr>
              <w:t>投标产品及技术满足度</w:t>
            </w:r>
          </w:p>
        </w:tc>
        <w:tc>
          <w:tcPr>
            <w:tcW w:w="627" w:type="dxa"/>
            <w:vAlign w:val="center"/>
          </w:tcPr>
          <w:p>
            <w:pPr>
              <w:spacing w:line="360" w:lineRule="auto"/>
              <w:ind w:left="-105" w:leftChars="-50" w:right="-105" w:rightChars="-50"/>
              <w:jc w:val="center"/>
              <w:rPr>
                <w:rFonts w:ascii="宋体" w:hAnsi="宋体" w:eastAsia="宋体"/>
                <w:color w:val="0000FF"/>
                <w:spacing w:val="-10"/>
                <w:szCs w:val="21"/>
              </w:rPr>
            </w:pPr>
            <w:r>
              <w:rPr>
                <w:rFonts w:hint="eastAsia" w:ascii="宋体" w:hAnsi="宋体" w:eastAsia="宋体"/>
                <w:color w:val="0000FF"/>
                <w:spacing w:val="-10"/>
                <w:szCs w:val="21"/>
              </w:rPr>
              <w:t>30分</w:t>
            </w:r>
          </w:p>
        </w:tc>
        <w:tc>
          <w:tcPr>
            <w:tcW w:w="6460" w:type="dxa"/>
            <w:vAlign w:val="center"/>
          </w:tcPr>
          <w:p>
            <w:pPr>
              <w:spacing w:line="360" w:lineRule="auto"/>
              <w:ind w:left="-105" w:leftChars="-50" w:right="-105" w:rightChars="-50"/>
              <w:rPr>
                <w:rFonts w:ascii="宋体" w:hAnsi="宋体" w:eastAsia="宋体"/>
                <w:color w:val="0000FF"/>
                <w:spacing w:val="-10"/>
                <w:szCs w:val="21"/>
              </w:rPr>
            </w:pPr>
            <w:r>
              <w:rPr>
                <w:rFonts w:hint="eastAsia" w:ascii="宋体" w:hAnsi="宋体" w:eastAsia="宋体"/>
                <w:color w:val="0000FF"/>
                <w:spacing w:val="-10"/>
                <w:szCs w:val="21"/>
              </w:rPr>
              <w:t>根据投标人所投产品技术指标响应情况进行评分。★为重要指标项，</w:t>
            </w:r>
            <w:r>
              <w:rPr>
                <w:rFonts w:ascii="宋体" w:hAnsi="宋体" w:eastAsia="宋体"/>
                <w:color w:val="0000FF"/>
                <w:spacing w:val="-10"/>
                <w:szCs w:val="21"/>
              </w:rPr>
              <w:t>1项不满足或无法提供证明扣2分，非★项每项不满足或无法提供证明的扣1分，扣完为止。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60" w:type="dxa"/>
            <w:vMerge w:val="continue"/>
            <w:vAlign w:val="center"/>
          </w:tcPr>
          <w:p>
            <w:pPr>
              <w:spacing w:line="360" w:lineRule="auto"/>
              <w:ind w:left="-105" w:leftChars="-50" w:right="-105" w:rightChars="-50"/>
              <w:jc w:val="center"/>
              <w:rPr>
                <w:rFonts w:ascii="宋体" w:hAnsi="宋体" w:eastAsia="宋体"/>
                <w:color w:val="0000FF"/>
                <w:spacing w:val="-10"/>
                <w:szCs w:val="21"/>
              </w:rPr>
            </w:pPr>
          </w:p>
        </w:tc>
        <w:tc>
          <w:tcPr>
            <w:tcW w:w="1125" w:type="dxa"/>
            <w:vAlign w:val="center"/>
          </w:tcPr>
          <w:p>
            <w:pPr>
              <w:spacing w:line="360" w:lineRule="auto"/>
              <w:ind w:left="-105" w:leftChars="-50" w:right="-105" w:rightChars="-50"/>
              <w:jc w:val="center"/>
              <w:rPr>
                <w:rFonts w:ascii="宋体" w:hAnsi="宋体" w:eastAsia="宋体"/>
                <w:color w:val="0000FF"/>
                <w:spacing w:val="-10"/>
                <w:szCs w:val="21"/>
              </w:rPr>
            </w:pPr>
            <w:r>
              <w:rPr>
                <w:rFonts w:hint="eastAsia" w:ascii="宋体" w:hAnsi="宋体" w:eastAsia="宋体"/>
                <w:color w:val="0000FF"/>
                <w:spacing w:val="-10"/>
                <w:szCs w:val="21"/>
              </w:rPr>
              <w:t>供货及验收</w:t>
            </w:r>
          </w:p>
          <w:p>
            <w:pPr>
              <w:spacing w:line="360" w:lineRule="auto"/>
              <w:ind w:left="-105" w:leftChars="-50" w:right="-105" w:rightChars="-50"/>
              <w:jc w:val="center"/>
              <w:rPr>
                <w:rFonts w:ascii="宋体" w:hAnsi="宋体" w:eastAsia="宋体"/>
                <w:color w:val="0000FF"/>
                <w:spacing w:val="-10"/>
                <w:szCs w:val="21"/>
              </w:rPr>
            </w:pPr>
            <w:r>
              <w:rPr>
                <w:rFonts w:hint="eastAsia" w:ascii="宋体" w:hAnsi="宋体" w:eastAsia="宋体"/>
                <w:color w:val="0000FF"/>
                <w:spacing w:val="-10"/>
                <w:szCs w:val="21"/>
              </w:rPr>
              <w:t>方案</w:t>
            </w:r>
          </w:p>
        </w:tc>
        <w:tc>
          <w:tcPr>
            <w:tcW w:w="627" w:type="dxa"/>
            <w:vAlign w:val="center"/>
          </w:tcPr>
          <w:p>
            <w:pPr>
              <w:spacing w:line="360" w:lineRule="auto"/>
              <w:ind w:left="-105" w:leftChars="-50" w:right="-105" w:rightChars="-50"/>
              <w:jc w:val="center"/>
              <w:rPr>
                <w:rFonts w:ascii="宋体" w:hAnsi="宋体" w:eastAsia="宋体"/>
                <w:color w:val="0000FF"/>
                <w:spacing w:val="-10"/>
                <w:szCs w:val="21"/>
              </w:rPr>
            </w:pPr>
            <w:r>
              <w:rPr>
                <w:rFonts w:hint="eastAsia" w:ascii="宋体" w:hAnsi="宋体" w:eastAsia="宋体"/>
                <w:color w:val="0000FF"/>
                <w:spacing w:val="-10"/>
                <w:szCs w:val="21"/>
              </w:rPr>
              <w:t>5分</w:t>
            </w:r>
          </w:p>
        </w:tc>
        <w:tc>
          <w:tcPr>
            <w:tcW w:w="6460" w:type="dxa"/>
            <w:vAlign w:val="center"/>
          </w:tcPr>
          <w:p>
            <w:pPr>
              <w:spacing w:line="360" w:lineRule="auto"/>
              <w:ind w:left="-105" w:leftChars="-50" w:right="-105" w:rightChars="-50"/>
              <w:rPr>
                <w:rFonts w:ascii="宋体" w:hAnsi="宋体" w:eastAsia="宋体"/>
                <w:color w:val="0000FF"/>
                <w:spacing w:val="-10"/>
                <w:szCs w:val="21"/>
              </w:rPr>
            </w:pPr>
            <w:r>
              <w:rPr>
                <w:rFonts w:hint="eastAsia" w:ascii="宋体" w:hAnsi="宋体" w:eastAsia="宋体"/>
                <w:color w:val="0000FF"/>
                <w:spacing w:val="-10"/>
                <w:szCs w:val="21"/>
              </w:rPr>
              <w:t>根据投标人供货方案及验收方案进行评分：</w:t>
            </w:r>
          </w:p>
          <w:p>
            <w:pPr>
              <w:spacing w:line="360" w:lineRule="auto"/>
              <w:ind w:left="-105" w:leftChars="-50" w:right="-105" w:rightChars="-50"/>
              <w:rPr>
                <w:rFonts w:ascii="宋体" w:hAnsi="宋体" w:eastAsia="宋体"/>
                <w:color w:val="0000FF"/>
                <w:spacing w:val="-10"/>
                <w:szCs w:val="21"/>
              </w:rPr>
            </w:pPr>
            <w:r>
              <w:rPr>
                <w:rFonts w:hint="eastAsia" w:ascii="宋体" w:hAnsi="宋体" w:eastAsia="宋体"/>
                <w:color w:val="0000FF"/>
                <w:spacing w:val="-10"/>
                <w:szCs w:val="21"/>
              </w:rPr>
              <w:t>供货方案合理、完整确保能按期供货、安装；验收方案的调试科学、合理、完整；上述供货及验收方案可行性高，有保障措施的得5分，有缺陷或不合理的得2分，差或无供货及验收方案的得0分。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60" w:type="dxa"/>
            <w:vMerge w:val="continue"/>
            <w:vAlign w:val="center"/>
          </w:tcPr>
          <w:p>
            <w:pPr>
              <w:spacing w:line="360" w:lineRule="auto"/>
              <w:ind w:left="-105" w:leftChars="-50" w:right="-105" w:rightChars="-50"/>
              <w:jc w:val="center"/>
              <w:rPr>
                <w:rFonts w:ascii="宋体" w:hAnsi="宋体" w:eastAsia="宋体"/>
                <w:color w:val="0000FF"/>
                <w:spacing w:val="-10"/>
                <w:szCs w:val="21"/>
              </w:rPr>
            </w:pPr>
          </w:p>
        </w:tc>
        <w:tc>
          <w:tcPr>
            <w:tcW w:w="1125" w:type="dxa"/>
            <w:vAlign w:val="center"/>
          </w:tcPr>
          <w:p>
            <w:pPr>
              <w:spacing w:line="360" w:lineRule="auto"/>
              <w:ind w:left="-105" w:leftChars="-50" w:right="-105" w:rightChars="-50"/>
              <w:jc w:val="center"/>
              <w:rPr>
                <w:rFonts w:ascii="宋体" w:hAnsi="宋体" w:eastAsia="宋体"/>
                <w:color w:val="0000FF"/>
                <w:spacing w:val="-10"/>
                <w:szCs w:val="21"/>
              </w:rPr>
            </w:pPr>
            <w:r>
              <w:rPr>
                <w:rFonts w:hint="eastAsia" w:ascii="宋体" w:hAnsi="宋体" w:eastAsia="宋体"/>
                <w:color w:val="0000FF"/>
                <w:spacing w:val="-10"/>
                <w:szCs w:val="21"/>
              </w:rPr>
              <w:t>售后服务及质量保证</w:t>
            </w:r>
          </w:p>
        </w:tc>
        <w:tc>
          <w:tcPr>
            <w:tcW w:w="627" w:type="dxa"/>
            <w:vAlign w:val="center"/>
          </w:tcPr>
          <w:p>
            <w:pPr>
              <w:spacing w:line="360" w:lineRule="auto"/>
              <w:ind w:left="-105" w:leftChars="-50" w:right="-105" w:rightChars="-50"/>
              <w:jc w:val="center"/>
              <w:rPr>
                <w:rFonts w:ascii="宋体" w:hAnsi="宋体" w:eastAsia="宋体"/>
                <w:color w:val="0000FF"/>
                <w:spacing w:val="-10"/>
                <w:szCs w:val="21"/>
              </w:rPr>
            </w:pPr>
            <w:r>
              <w:rPr>
                <w:rFonts w:hint="eastAsia" w:ascii="宋体" w:hAnsi="宋体" w:eastAsia="宋体"/>
                <w:color w:val="0000FF"/>
                <w:spacing w:val="-10"/>
                <w:szCs w:val="21"/>
              </w:rPr>
              <w:t>5分</w:t>
            </w:r>
          </w:p>
        </w:tc>
        <w:tc>
          <w:tcPr>
            <w:tcW w:w="6460" w:type="dxa"/>
            <w:vAlign w:val="center"/>
          </w:tcPr>
          <w:p>
            <w:pPr>
              <w:spacing w:line="360" w:lineRule="auto"/>
              <w:ind w:left="-105" w:leftChars="-50" w:right="-105" w:rightChars="-50"/>
              <w:rPr>
                <w:rFonts w:ascii="宋体" w:hAnsi="宋体" w:eastAsia="宋体"/>
                <w:color w:val="0000FF"/>
                <w:spacing w:val="-10"/>
                <w:szCs w:val="21"/>
              </w:rPr>
            </w:pPr>
            <w:r>
              <w:rPr>
                <w:rFonts w:hint="eastAsia" w:ascii="宋体" w:hAnsi="宋体" w:eastAsia="宋体"/>
                <w:color w:val="0000FF"/>
                <w:spacing w:val="-10"/>
                <w:szCs w:val="21"/>
              </w:rPr>
              <w:t>投标人承诺提供7×24小时电话售后服务，接采购人通知2小时内派技术人员到达现场，24小时内解决问题的，得3分。</w:t>
            </w:r>
          </w:p>
          <w:p>
            <w:pPr>
              <w:spacing w:line="360" w:lineRule="auto"/>
              <w:ind w:left="-105" w:leftChars="-50" w:right="-105" w:rightChars="-50"/>
              <w:rPr>
                <w:rFonts w:ascii="宋体" w:hAnsi="宋体" w:eastAsia="宋体"/>
                <w:color w:val="0000FF"/>
                <w:spacing w:val="-10"/>
                <w:szCs w:val="21"/>
              </w:rPr>
            </w:pPr>
            <w:r>
              <w:rPr>
                <w:rFonts w:hint="eastAsia" w:ascii="宋体" w:hAnsi="宋体" w:eastAsia="宋体"/>
                <w:color w:val="0000FF"/>
                <w:spacing w:val="-10"/>
                <w:szCs w:val="21"/>
              </w:rPr>
              <w:t>投标人所投网络安全设备，提供3年及以上原厂质保的，每项产品得1分，最多2分，3年以下不得分。</w:t>
            </w:r>
          </w:p>
        </w:tc>
      </w:tr>
      <w:bookmarkEnd w:id="0"/>
    </w:tbl>
    <w:p>
      <w:pPr>
        <w:widowControl/>
        <w:jc w:val="left"/>
        <w:rPr>
          <w:rFonts w:ascii="宋体" w:hAnsi="宋体" w:eastAsia="宋体"/>
          <w:b/>
          <w:sz w:val="28"/>
        </w:rPr>
      </w:pPr>
    </w:p>
    <w:sectPr>
      <w:headerReference r:id="rId3" w:type="first"/>
      <w:footerReference r:id="rId5" w:type="first"/>
      <w:footerReference r:id="rId4" w:type="default"/>
      <w:pgSz w:w="11906" w:h="16838"/>
      <w:pgMar w:top="1440" w:right="1134" w:bottom="1440" w:left="113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
    <w:altName w:val="宋体"/>
    <w:panose1 w:val="00000000000000000000"/>
    <w:charset w:val="86"/>
    <w:family w:val="auto"/>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长城仿宋">
    <w:altName w:val="黑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08729471"/>
      <w:docPartObj>
        <w:docPartGallery w:val="autotext"/>
      </w:docPartObj>
    </w:sdtPr>
    <w:sdtContent>
      <w:p>
        <w:pPr>
          <w:pStyle w:val="18"/>
          <w:jc w:val="center"/>
        </w:pPr>
        <w:r>
          <w:fldChar w:fldCharType="begin"/>
        </w:r>
        <w:r>
          <w:instrText xml:space="preserve">PAGE   \* MERGEFORMAT</w:instrText>
        </w:r>
        <w:r>
          <w:fldChar w:fldCharType="separate"/>
        </w:r>
        <w:r>
          <w:rPr>
            <w:lang w:val="zh-CN"/>
          </w:rPr>
          <w:t>6</w:t>
        </w:r>
        <w:r>
          <w:fldChar w:fldCharType="end"/>
        </w:r>
      </w:p>
    </w:sdtContent>
  </w:sdt>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25493934"/>
      <w:docPartObj>
        <w:docPartGallery w:val="autotext"/>
      </w:docPartObj>
    </w:sdtPr>
    <w:sdtContent>
      <w:p>
        <w:pPr>
          <w:pStyle w:val="18"/>
          <w:jc w:val="center"/>
        </w:pPr>
        <w:r>
          <w:fldChar w:fldCharType="begin"/>
        </w:r>
        <w:r>
          <w:instrText xml:space="preserve">PAGE   \* MERGEFORMAT</w:instrText>
        </w:r>
        <w:r>
          <w:fldChar w:fldCharType="separate"/>
        </w:r>
        <w:r>
          <w:rPr>
            <w:lang w:val="zh-CN"/>
          </w:rPr>
          <w:t>1</w:t>
        </w:r>
        <w:r>
          <w:fldChar w:fldCharType="end"/>
        </w:r>
      </w:p>
    </w:sdtContent>
  </w:sdt>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ind w:firstLine="360" w:firstLineChars="20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japaneseCounting"/>
      <w:pStyle w:val="58"/>
      <w:lvlText w:val="第%1章"/>
      <w:lvlJc w:val="left"/>
      <w:pPr>
        <w:tabs>
          <w:tab w:val="left" w:pos="1275"/>
        </w:tabs>
        <w:ind w:left="1275" w:hanging="1275"/>
      </w:pPr>
      <w:rPr>
        <w:rFonts w:hint="default"/>
        <w:b/>
        <w:sz w:val="36"/>
        <w:szCs w:val="36"/>
      </w:rPr>
    </w:lvl>
    <w:lvl w:ilvl="1" w:tentative="0">
      <w:start w:val="1"/>
      <w:numFmt w:val="japaneseCounting"/>
      <w:lvlText w:val="%2、"/>
      <w:lvlJc w:val="left"/>
      <w:pPr>
        <w:tabs>
          <w:tab w:val="left" w:pos="420"/>
        </w:tabs>
        <w:ind w:left="420" w:hanging="420"/>
      </w:pPr>
      <w:rPr>
        <w:rFonts w:hint="default"/>
        <w:sz w:val="21"/>
        <w:szCs w:val="21"/>
      </w:rPr>
    </w:lvl>
    <w:lvl w:ilvl="2" w:tentative="0">
      <w:start w:val="1"/>
      <w:numFmt w:val="decimal"/>
      <w:lvlText w:val="%3、"/>
      <w:lvlJc w:val="left"/>
      <w:pPr>
        <w:tabs>
          <w:tab w:val="left" w:pos="420"/>
        </w:tabs>
        <w:ind w:left="0" w:firstLine="420"/>
      </w:pPr>
      <w:rPr>
        <w:rFonts w:hint="default"/>
        <w:b w:val="0"/>
        <w:sz w:val="21"/>
        <w:szCs w:val="21"/>
      </w:rPr>
    </w:lvl>
    <w:lvl w:ilvl="3" w:tentative="0">
      <w:start w:val="1"/>
      <w:numFmt w:val="decimal"/>
      <w:lvlText w:val="%4."/>
      <w:lvlJc w:val="left"/>
      <w:pPr>
        <w:tabs>
          <w:tab w:val="left" w:pos="1620"/>
        </w:tabs>
        <w:ind w:left="1620" w:hanging="36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2ED3848"/>
    <w:multiLevelType w:val="multilevel"/>
    <w:tmpl w:val="12ED3848"/>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A34B7"/>
    <w:rsid w:val="0003128B"/>
    <w:rsid w:val="0003386D"/>
    <w:rsid w:val="00044EB1"/>
    <w:rsid w:val="000471C1"/>
    <w:rsid w:val="00055162"/>
    <w:rsid w:val="00061AAE"/>
    <w:rsid w:val="000700BE"/>
    <w:rsid w:val="000744E4"/>
    <w:rsid w:val="00083A35"/>
    <w:rsid w:val="00095CCC"/>
    <w:rsid w:val="000964D0"/>
    <w:rsid w:val="00097F91"/>
    <w:rsid w:val="000B54FE"/>
    <w:rsid w:val="000B5EB3"/>
    <w:rsid w:val="000C0781"/>
    <w:rsid w:val="000D0AB8"/>
    <w:rsid w:val="000D14E4"/>
    <w:rsid w:val="000D1FE1"/>
    <w:rsid w:val="000D66E3"/>
    <w:rsid w:val="000F2F72"/>
    <w:rsid w:val="00101DE3"/>
    <w:rsid w:val="00113CE7"/>
    <w:rsid w:val="00125D23"/>
    <w:rsid w:val="001335E8"/>
    <w:rsid w:val="00153681"/>
    <w:rsid w:val="0015389F"/>
    <w:rsid w:val="00154CE6"/>
    <w:rsid w:val="00156E5A"/>
    <w:rsid w:val="00162DA6"/>
    <w:rsid w:val="00164664"/>
    <w:rsid w:val="001651DD"/>
    <w:rsid w:val="00175FB7"/>
    <w:rsid w:val="001841B9"/>
    <w:rsid w:val="00194C1A"/>
    <w:rsid w:val="00195108"/>
    <w:rsid w:val="001A3652"/>
    <w:rsid w:val="001B2650"/>
    <w:rsid w:val="001C3C17"/>
    <w:rsid w:val="001C7D5D"/>
    <w:rsid w:val="001D3C9A"/>
    <w:rsid w:val="001E19DF"/>
    <w:rsid w:val="001E34D5"/>
    <w:rsid w:val="001E4C93"/>
    <w:rsid w:val="001F1543"/>
    <w:rsid w:val="001F290A"/>
    <w:rsid w:val="00203B27"/>
    <w:rsid w:val="00203B6A"/>
    <w:rsid w:val="002054B2"/>
    <w:rsid w:val="0022153B"/>
    <w:rsid w:val="00243250"/>
    <w:rsid w:val="0024396C"/>
    <w:rsid w:val="002473A2"/>
    <w:rsid w:val="00253C02"/>
    <w:rsid w:val="00257271"/>
    <w:rsid w:val="00262BED"/>
    <w:rsid w:val="00271AB6"/>
    <w:rsid w:val="002722A7"/>
    <w:rsid w:val="00274ADB"/>
    <w:rsid w:val="0027601A"/>
    <w:rsid w:val="0027794A"/>
    <w:rsid w:val="00282E5D"/>
    <w:rsid w:val="00286B4D"/>
    <w:rsid w:val="00286C8D"/>
    <w:rsid w:val="0029029F"/>
    <w:rsid w:val="002911DD"/>
    <w:rsid w:val="00297E1C"/>
    <w:rsid w:val="002A12D1"/>
    <w:rsid w:val="002A131E"/>
    <w:rsid w:val="002A273C"/>
    <w:rsid w:val="002A43C3"/>
    <w:rsid w:val="002C470B"/>
    <w:rsid w:val="002C519B"/>
    <w:rsid w:val="002D26C9"/>
    <w:rsid w:val="002E6988"/>
    <w:rsid w:val="002F5442"/>
    <w:rsid w:val="00302213"/>
    <w:rsid w:val="00315736"/>
    <w:rsid w:val="00324187"/>
    <w:rsid w:val="00324F94"/>
    <w:rsid w:val="003325DB"/>
    <w:rsid w:val="00350299"/>
    <w:rsid w:val="0035584D"/>
    <w:rsid w:val="00357C30"/>
    <w:rsid w:val="003645DC"/>
    <w:rsid w:val="00364880"/>
    <w:rsid w:val="0036575E"/>
    <w:rsid w:val="0036603C"/>
    <w:rsid w:val="00366827"/>
    <w:rsid w:val="00374247"/>
    <w:rsid w:val="00392E72"/>
    <w:rsid w:val="00394673"/>
    <w:rsid w:val="0039565C"/>
    <w:rsid w:val="00396193"/>
    <w:rsid w:val="003A1CE0"/>
    <w:rsid w:val="003A44E3"/>
    <w:rsid w:val="003A4CB0"/>
    <w:rsid w:val="003B10E2"/>
    <w:rsid w:val="003B1158"/>
    <w:rsid w:val="003B30CD"/>
    <w:rsid w:val="003C184D"/>
    <w:rsid w:val="003D7F71"/>
    <w:rsid w:val="00400762"/>
    <w:rsid w:val="00403828"/>
    <w:rsid w:val="004055D0"/>
    <w:rsid w:val="004069CF"/>
    <w:rsid w:val="00420B85"/>
    <w:rsid w:val="0042153C"/>
    <w:rsid w:val="00433626"/>
    <w:rsid w:val="00437C63"/>
    <w:rsid w:val="00446D65"/>
    <w:rsid w:val="00450681"/>
    <w:rsid w:val="00450FC4"/>
    <w:rsid w:val="0045181C"/>
    <w:rsid w:val="00455298"/>
    <w:rsid w:val="004569C4"/>
    <w:rsid w:val="00471EC0"/>
    <w:rsid w:val="0047511F"/>
    <w:rsid w:val="004763B1"/>
    <w:rsid w:val="00487E90"/>
    <w:rsid w:val="004A619E"/>
    <w:rsid w:val="004B4AFF"/>
    <w:rsid w:val="004C0044"/>
    <w:rsid w:val="004C7200"/>
    <w:rsid w:val="004C73FE"/>
    <w:rsid w:val="005017B3"/>
    <w:rsid w:val="00502F5A"/>
    <w:rsid w:val="0051079F"/>
    <w:rsid w:val="00512CD1"/>
    <w:rsid w:val="00524BC6"/>
    <w:rsid w:val="00526555"/>
    <w:rsid w:val="0053216B"/>
    <w:rsid w:val="005361FA"/>
    <w:rsid w:val="005438D1"/>
    <w:rsid w:val="0054529C"/>
    <w:rsid w:val="005568D8"/>
    <w:rsid w:val="00580A82"/>
    <w:rsid w:val="005811B9"/>
    <w:rsid w:val="005840F3"/>
    <w:rsid w:val="005A128B"/>
    <w:rsid w:val="005A39FA"/>
    <w:rsid w:val="005A7785"/>
    <w:rsid w:val="005B0951"/>
    <w:rsid w:val="005B2DCB"/>
    <w:rsid w:val="005B679B"/>
    <w:rsid w:val="005B7BB2"/>
    <w:rsid w:val="005D163A"/>
    <w:rsid w:val="005E0971"/>
    <w:rsid w:val="005F2E72"/>
    <w:rsid w:val="005F4C48"/>
    <w:rsid w:val="00602ED5"/>
    <w:rsid w:val="00604A81"/>
    <w:rsid w:val="006141DF"/>
    <w:rsid w:val="00623323"/>
    <w:rsid w:val="0062425F"/>
    <w:rsid w:val="00635DBD"/>
    <w:rsid w:val="00660DF2"/>
    <w:rsid w:val="00684FD0"/>
    <w:rsid w:val="006859F7"/>
    <w:rsid w:val="006952BF"/>
    <w:rsid w:val="006968A6"/>
    <w:rsid w:val="006A34B7"/>
    <w:rsid w:val="006B2B5D"/>
    <w:rsid w:val="006B4F8D"/>
    <w:rsid w:val="006D115E"/>
    <w:rsid w:val="006D642E"/>
    <w:rsid w:val="006E0500"/>
    <w:rsid w:val="006E0D18"/>
    <w:rsid w:val="006E0DD0"/>
    <w:rsid w:val="006E280E"/>
    <w:rsid w:val="006E63A3"/>
    <w:rsid w:val="006E6638"/>
    <w:rsid w:val="006F0C82"/>
    <w:rsid w:val="006F1593"/>
    <w:rsid w:val="00730602"/>
    <w:rsid w:val="00741AC8"/>
    <w:rsid w:val="007528B4"/>
    <w:rsid w:val="00762E63"/>
    <w:rsid w:val="00772147"/>
    <w:rsid w:val="0077448E"/>
    <w:rsid w:val="00781DA2"/>
    <w:rsid w:val="00785935"/>
    <w:rsid w:val="00793C71"/>
    <w:rsid w:val="007A0C88"/>
    <w:rsid w:val="007A24B3"/>
    <w:rsid w:val="007A29E1"/>
    <w:rsid w:val="007A7D4A"/>
    <w:rsid w:val="007A7D6A"/>
    <w:rsid w:val="007B1B21"/>
    <w:rsid w:val="007C0F58"/>
    <w:rsid w:val="007C24B9"/>
    <w:rsid w:val="007D317A"/>
    <w:rsid w:val="007D40EE"/>
    <w:rsid w:val="007D464D"/>
    <w:rsid w:val="007D59BD"/>
    <w:rsid w:val="007E1CCE"/>
    <w:rsid w:val="007E261E"/>
    <w:rsid w:val="007E5E53"/>
    <w:rsid w:val="007F1B6A"/>
    <w:rsid w:val="008045FF"/>
    <w:rsid w:val="008122AD"/>
    <w:rsid w:val="00816F7B"/>
    <w:rsid w:val="00823982"/>
    <w:rsid w:val="00834337"/>
    <w:rsid w:val="00834ABB"/>
    <w:rsid w:val="00845BBB"/>
    <w:rsid w:val="00862416"/>
    <w:rsid w:val="008674B5"/>
    <w:rsid w:val="00880760"/>
    <w:rsid w:val="00893FD3"/>
    <w:rsid w:val="008A46B6"/>
    <w:rsid w:val="008C487C"/>
    <w:rsid w:val="008D23FA"/>
    <w:rsid w:val="008D3E6C"/>
    <w:rsid w:val="008E534C"/>
    <w:rsid w:val="008E6A55"/>
    <w:rsid w:val="0091366C"/>
    <w:rsid w:val="00917E8D"/>
    <w:rsid w:val="0092419C"/>
    <w:rsid w:val="00931E70"/>
    <w:rsid w:val="009508B2"/>
    <w:rsid w:val="00953B94"/>
    <w:rsid w:val="00960AB3"/>
    <w:rsid w:val="00962873"/>
    <w:rsid w:val="009649A9"/>
    <w:rsid w:val="009730C6"/>
    <w:rsid w:val="009847C0"/>
    <w:rsid w:val="00985B37"/>
    <w:rsid w:val="009874D4"/>
    <w:rsid w:val="009B08FB"/>
    <w:rsid w:val="009B3F8E"/>
    <w:rsid w:val="009B63B3"/>
    <w:rsid w:val="009D3274"/>
    <w:rsid w:val="00A079C8"/>
    <w:rsid w:val="00A15D95"/>
    <w:rsid w:val="00A21FD6"/>
    <w:rsid w:val="00A319C1"/>
    <w:rsid w:val="00A3597F"/>
    <w:rsid w:val="00A37AC7"/>
    <w:rsid w:val="00A427A9"/>
    <w:rsid w:val="00A5326C"/>
    <w:rsid w:val="00A6028F"/>
    <w:rsid w:val="00A64B65"/>
    <w:rsid w:val="00A71C6E"/>
    <w:rsid w:val="00A77B02"/>
    <w:rsid w:val="00A81E0F"/>
    <w:rsid w:val="00A82C32"/>
    <w:rsid w:val="00A82CC4"/>
    <w:rsid w:val="00A86136"/>
    <w:rsid w:val="00AA3C3E"/>
    <w:rsid w:val="00AA56B8"/>
    <w:rsid w:val="00AB0154"/>
    <w:rsid w:val="00AB0452"/>
    <w:rsid w:val="00AD74FA"/>
    <w:rsid w:val="00AE1766"/>
    <w:rsid w:val="00AF1408"/>
    <w:rsid w:val="00AF6B21"/>
    <w:rsid w:val="00B03722"/>
    <w:rsid w:val="00B10F5E"/>
    <w:rsid w:val="00B1671B"/>
    <w:rsid w:val="00B179DB"/>
    <w:rsid w:val="00B20E93"/>
    <w:rsid w:val="00B2335F"/>
    <w:rsid w:val="00B24E6A"/>
    <w:rsid w:val="00B30C5E"/>
    <w:rsid w:val="00B3429D"/>
    <w:rsid w:val="00B57BDF"/>
    <w:rsid w:val="00B628FD"/>
    <w:rsid w:val="00B632A7"/>
    <w:rsid w:val="00B71335"/>
    <w:rsid w:val="00B720C6"/>
    <w:rsid w:val="00B734DD"/>
    <w:rsid w:val="00B75C09"/>
    <w:rsid w:val="00B84CC9"/>
    <w:rsid w:val="00B914D3"/>
    <w:rsid w:val="00B95F64"/>
    <w:rsid w:val="00BA04C0"/>
    <w:rsid w:val="00BA2AE8"/>
    <w:rsid w:val="00BB21AB"/>
    <w:rsid w:val="00BB7DF1"/>
    <w:rsid w:val="00BC2470"/>
    <w:rsid w:val="00BC4A2D"/>
    <w:rsid w:val="00BE1231"/>
    <w:rsid w:val="00BE5305"/>
    <w:rsid w:val="00BF597F"/>
    <w:rsid w:val="00BF7308"/>
    <w:rsid w:val="00C00BA6"/>
    <w:rsid w:val="00C12133"/>
    <w:rsid w:val="00C2516C"/>
    <w:rsid w:val="00C333EC"/>
    <w:rsid w:val="00C407E5"/>
    <w:rsid w:val="00C4434F"/>
    <w:rsid w:val="00C55666"/>
    <w:rsid w:val="00C616B5"/>
    <w:rsid w:val="00C624AB"/>
    <w:rsid w:val="00C731CC"/>
    <w:rsid w:val="00C735E3"/>
    <w:rsid w:val="00C75FAD"/>
    <w:rsid w:val="00C84DA5"/>
    <w:rsid w:val="00CA4358"/>
    <w:rsid w:val="00CA60E6"/>
    <w:rsid w:val="00CC6437"/>
    <w:rsid w:val="00CC6676"/>
    <w:rsid w:val="00CE29C1"/>
    <w:rsid w:val="00CE6D05"/>
    <w:rsid w:val="00CF1DB6"/>
    <w:rsid w:val="00D10ACC"/>
    <w:rsid w:val="00D1721F"/>
    <w:rsid w:val="00D1730B"/>
    <w:rsid w:val="00D1795C"/>
    <w:rsid w:val="00D17C67"/>
    <w:rsid w:val="00D212EA"/>
    <w:rsid w:val="00D413A2"/>
    <w:rsid w:val="00D52283"/>
    <w:rsid w:val="00D532D3"/>
    <w:rsid w:val="00D650CA"/>
    <w:rsid w:val="00D66B99"/>
    <w:rsid w:val="00D85964"/>
    <w:rsid w:val="00D93C18"/>
    <w:rsid w:val="00DA1D4C"/>
    <w:rsid w:val="00DA513B"/>
    <w:rsid w:val="00DB590F"/>
    <w:rsid w:val="00DC0F38"/>
    <w:rsid w:val="00DC2304"/>
    <w:rsid w:val="00DD18AB"/>
    <w:rsid w:val="00DE56CC"/>
    <w:rsid w:val="00DE78AD"/>
    <w:rsid w:val="00E001ED"/>
    <w:rsid w:val="00E05167"/>
    <w:rsid w:val="00E23CC0"/>
    <w:rsid w:val="00E775C7"/>
    <w:rsid w:val="00E84BAE"/>
    <w:rsid w:val="00E91E02"/>
    <w:rsid w:val="00EA11A8"/>
    <w:rsid w:val="00EB0C58"/>
    <w:rsid w:val="00EB2C20"/>
    <w:rsid w:val="00ED07B7"/>
    <w:rsid w:val="00EE0AB8"/>
    <w:rsid w:val="00EE65C4"/>
    <w:rsid w:val="00EF67E6"/>
    <w:rsid w:val="00F168CA"/>
    <w:rsid w:val="00F36E13"/>
    <w:rsid w:val="00F5733C"/>
    <w:rsid w:val="00F638FA"/>
    <w:rsid w:val="00F64BE3"/>
    <w:rsid w:val="00F67B05"/>
    <w:rsid w:val="00F761E3"/>
    <w:rsid w:val="00F77B02"/>
    <w:rsid w:val="00F80EAB"/>
    <w:rsid w:val="00F814AF"/>
    <w:rsid w:val="00FB58ED"/>
    <w:rsid w:val="00FC4B1F"/>
    <w:rsid w:val="00FD180A"/>
    <w:rsid w:val="00FD205F"/>
    <w:rsid w:val="00FD672A"/>
    <w:rsid w:val="00FE0FC0"/>
    <w:rsid w:val="00FE32E2"/>
    <w:rsid w:val="00FE7CFC"/>
    <w:rsid w:val="00FF25C8"/>
    <w:rsid w:val="0F097EE1"/>
    <w:rsid w:val="4EA735CD"/>
    <w:rsid w:val="510E534D"/>
    <w:rsid w:val="58495F4B"/>
    <w:rsid w:val="7E4D59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qFormat="1" w:uiPriority="39" w:semiHidden="0" w:name="toc 4"/>
    <w:lsdException w:uiPriority="39" w:semiHidden="0" w:name="toc 5"/>
    <w:lsdException w:qFormat="1" w:uiPriority="39" w:semiHidden="0" w:name="toc 6"/>
    <w:lsdException w:qFormat="1" w:uiPriority="39" w:semiHidden="0" w:name="toc 7"/>
    <w:lsdException w:qFormat="1" w:uiPriority="39" w:semiHidden="0" w:name="toc 8"/>
    <w:lsdException w:uiPriority="39" w:semiHidden="0" w:name="toc 9"/>
    <w:lsdException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iPriority="0" w:semiHidden="0" w:name="Body Text 3"/>
    <w:lsdException w:uiPriority="99" w:name="Body Text Indent 2"/>
    <w:lsdException w:qFormat="1" w:uiPriority="99"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6"/>
    <w:qFormat/>
    <w:uiPriority w:val="9"/>
    <w:pPr>
      <w:keepNext/>
      <w:keepLines/>
      <w:spacing w:before="220" w:after="210" w:line="578" w:lineRule="auto"/>
      <w:jc w:val="center"/>
      <w:outlineLvl w:val="0"/>
    </w:pPr>
    <w:rPr>
      <w:rFonts w:ascii="Calibri" w:hAnsi="Calibri" w:eastAsia="宋体" w:cs="Times New Roman"/>
      <w:b/>
      <w:bCs/>
      <w:kern w:val="44"/>
      <w:sz w:val="32"/>
      <w:szCs w:val="44"/>
    </w:rPr>
  </w:style>
  <w:style w:type="paragraph" w:styleId="4">
    <w:name w:val="heading 2"/>
    <w:basedOn w:val="1"/>
    <w:next w:val="1"/>
    <w:link w:val="37"/>
    <w:unhideWhenUsed/>
    <w:qFormat/>
    <w:uiPriority w:val="9"/>
    <w:pPr>
      <w:keepNext/>
      <w:keepLines/>
      <w:spacing w:before="260" w:after="260" w:line="416" w:lineRule="auto"/>
      <w:jc w:val="center"/>
      <w:outlineLvl w:val="1"/>
    </w:pPr>
    <w:rPr>
      <w:rFonts w:eastAsia="宋体" w:asciiTheme="majorHAnsi" w:hAnsiTheme="majorHAnsi" w:cstheme="majorBidi"/>
      <w:b/>
      <w:bCs/>
      <w:sz w:val="28"/>
      <w:szCs w:val="32"/>
    </w:rPr>
  </w:style>
  <w:style w:type="paragraph" w:styleId="5">
    <w:name w:val="heading 3"/>
    <w:basedOn w:val="1"/>
    <w:next w:val="1"/>
    <w:link w:val="38"/>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50"/>
    <w:unhideWhenUsed/>
    <w:qFormat/>
    <w:uiPriority w:val="9"/>
    <w:pPr>
      <w:keepNext/>
      <w:keepLines/>
      <w:widowControl/>
      <w:spacing w:before="280" w:after="290" w:line="376" w:lineRule="auto"/>
      <w:jc w:val="left"/>
      <w:outlineLvl w:val="3"/>
    </w:pPr>
    <w:rPr>
      <w:rFonts w:asciiTheme="majorHAnsi" w:hAnsiTheme="majorHAnsi" w:eastAsiaTheme="majorEastAsia" w:cstheme="majorBidi"/>
      <w:b/>
      <w:bCs/>
      <w:kern w:val="0"/>
      <w:sz w:val="28"/>
      <w:szCs w:val="28"/>
    </w:rPr>
  </w:style>
  <w:style w:type="character" w:default="1" w:styleId="26">
    <w:name w:val="Default Paragraph Font"/>
    <w:semiHidden/>
    <w:unhideWhenUsed/>
    <w:qFormat/>
    <w:uiPriority w:val="1"/>
  </w:style>
  <w:style w:type="table" w:default="1" w:styleId="29">
    <w:name w:val="Normal Table"/>
    <w:semiHidden/>
    <w:unhideWhenUsed/>
    <w:uiPriority w:val="99"/>
    <w:tblPr>
      <w:tblLayout w:type="fixed"/>
      <w:tblCellMar>
        <w:top w:w="0" w:type="dxa"/>
        <w:left w:w="108" w:type="dxa"/>
        <w:bottom w:w="0" w:type="dxa"/>
        <w:right w:w="108" w:type="dxa"/>
      </w:tblCellMar>
    </w:tblPr>
  </w:style>
  <w:style w:type="paragraph" w:styleId="2">
    <w:name w:val="Body Text Indent 3"/>
    <w:basedOn w:val="1"/>
    <w:link w:val="59"/>
    <w:unhideWhenUsed/>
    <w:qFormat/>
    <w:uiPriority w:val="99"/>
    <w:pPr>
      <w:spacing w:after="120"/>
      <w:ind w:left="420" w:leftChars="200"/>
    </w:pPr>
    <w:rPr>
      <w:sz w:val="16"/>
      <w:szCs w:val="16"/>
    </w:rPr>
  </w:style>
  <w:style w:type="paragraph" w:styleId="7">
    <w:name w:val="annotation subject"/>
    <w:basedOn w:val="8"/>
    <w:next w:val="8"/>
    <w:link w:val="56"/>
    <w:semiHidden/>
    <w:unhideWhenUsed/>
    <w:qFormat/>
    <w:uiPriority w:val="99"/>
    <w:rPr>
      <w:rFonts w:ascii="宋体" w:hAnsi="宋体" w:eastAsia="等线" w:cs="Times New Roman"/>
      <w:b/>
      <w:bCs/>
      <w:kern w:val="0"/>
      <w:sz w:val="20"/>
      <w:szCs w:val="20"/>
    </w:rPr>
  </w:style>
  <w:style w:type="paragraph" w:styleId="8">
    <w:name w:val="annotation text"/>
    <w:basedOn w:val="1"/>
    <w:link w:val="51"/>
    <w:unhideWhenUsed/>
    <w:qFormat/>
    <w:uiPriority w:val="99"/>
    <w:pPr>
      <w:widowControl/>
      <w:jc w:val="left"/>
    </w:pPr>
    <w:rPr>
      <w:sz w:val="24"/>
      <w:szCs w:val="24"/>
    </w:rPr>
  </w:style>
  <w:style w:type="paragraph" w:styleId="9">
    <w:name w:val="toc 7"/>
    <w:basedOn w:val="1"/>
    <w:next w:val="1"/>
    <w:unhideWhenUsed/>
    <w:qFormat/>
    <w:uiPriority w:val="39"/>
    <w:pPr>
      <w:ind w:left="2520" w:leftChars="1200"/>
    </w:pPr>
  </w:style>
  <w:style w:type="paragraph" w:styleId="10">
    <w:name w:val="Normal Indent"/>
    <w:basedOn w:val="1"/>
    <w:link w:val="44"/>
    <w:uiPriority w:val="0"/>
    <w:pPr>
      <w:ind w:firstLine="420"/>
    </w:pPr>
    <w:rPr>
      <w:rFonts w:eastAsia="宋体"/>
    </w:rPr>
  </w:style>
  <w:style w:type="paragraph" w:styleId="11">
    <w:name w:val="Body Text 3"/>
    <w:basedOn w:val="1"/>
    <w:link w:val="40"/>
    <w:unhideWhenUsed/>
    <w:qFormat/>
    <w:uiPriority w:val="0"/>
    <w:pPr>
      <w:spacing w:after="120"/>
    </w:pPr>
    <w:rPr>
      <w:sz w:val="16"/>
      <w:szCs w:val="16"/>
    </w:rPr>
  </w:style>
  <w:style w:type="paragraph" w:styleId="12">
    <w:name w:val="Body Text"/>
    <w:basedOn w:val="1"/>
    <w:link w:val="57"/>
    <w:qFormat/>
    <w:uiPriority w:val="1"/>
    <w:pPr>
      <w:autoSpaceDE w:val="0"/>
      <w:autoSpaceDN w:val="0"/>
      <w:jc w:val="left"/>
    </w:pPr>
    <w:rPr>
      <w:rFonts w:ascii="宋体" w:hAnsi="宋体" w:eastAsia="宋体" w:cs="宋体"/>
      <w:kern w:val="0"/>
      <w:szCs w:val="21"/>
      <w:lang w:eastAsia="en-US"/>
    </w:rPr>
  </w:style>
  <w:style w:type="paragraph" w:styleId="13">
    <w:name w:val="toc 5"/>
    <w:basedOn w:val="1"/>
    <w:next w:val="1"/>
    <w:unhideWhenUsed/>
    <w:uiPriority w:val="39"/>
    <w:pPr>
      <w:ind w:left="1680" w:leftChars="800"/>
    </w:pPr>
  </w:style>
  <w:style w:type="paragraph" w:styleId="14">
    <w:name w:val="toc 3"/>
    <w:basedOn w:val="1"/>
    <w:next w:val="1"/>
    <w:unhideWhenUsed/>
    <w:uiPriority w:val="39"/>
    <w:pPr>
      <w:ind w:left="840" w:leftChars="400"/>
    </w:pPr>
  </w:style>
  <w:style w:type="paragraph" w:styleId="15">
    <w:name w:val="Plain Text"/>
    <w:basedOn w:val="1"/>
    <w:link w:val="39"/>
    <w:qFormat/>
    <w:uiPriority w:val="0"/>
    <w:rPr>
      <w:rFonts w:ascii="宋体" w:hAnsi="Courier New" w:eastAsia="宋体"/>
    </w:rPr>
  </w:style>
  <w:style w:type="paragraph" w:styleId="16">
    <w:name w:val="toc 8"/>
    <w:basedOn w:val="1"/>
    <w:next w:val="1"/>
    <w:unhideWhenUsed/>
    <w:qFormat/>
    <w:uiPriority w:val="39"/>
    <w:pPr>
      <w:ind w:left="2940" w:leftChars="1400"/>
    </w:pPr>
  </w:style>
  <w:style w:type="paragraph" w:styleId="17">
    <w:name w:val="Balloon Text"/>
    <w:basedOn w:val="1"/>
    <w:link w:val="55"/>
    <w:semiHidden/>
    <w:unhideWhenUsed/>
    <w:qFormat/>
    <w:uiPriority w:val="99"/>
    <w:pPr>
      <w:widowControl/>
      <w:jc w:val="left"/>
    </w:pPr>
    <w:rPr>
      <w:rFonts w:ascii="宋体" w:hAnsi="宋体" w:eastAsia="等线" w:cs="Times New Roman"/>
      <w:kern w:val="0"/>
      <w:sz w:val="18"/>
      <w:szCs w:val="18"/>
    </w:rPr>
  </w:style>
  <w:style w:type="paragraph" w:styleId="18">
    <w:name w:val="footer"/>
    <w:basedOn w:val="1"/>
    <w:link w:val="32"/>
    <w:unhideWhenUsed/>
    <w:qFormat/>
    <w:uiPriority w:val="99"/>
    <w:pPr>
      <w:tabs>
        <w:tab w:val="center" w:pos="4153"/>
        <w:tab w:val="right" w:pos="8306"/>
      </w:tabs>
      <w:snapToGrid w:val="0"/>
      <w:jc w:val="left"/>
    </w:pPr>
    <w:rPr>
      <w:sz w:val="18"/>
      <w:szCs w:val="18"/>
    </w:rPr>
  </w:style>
  <w:style w:type="paragraph" w:styleId="19">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uiPriority w:val="39"/>
  </w:style>
  <w:style w:type="paragraph" w:styleId="21">
    <w:name w:val="toc 4"/>
    <w:basedOn w:val="1"/>
    <w:next w:val="1"/>
    <w:unhideWhenUsed/>
    <w:qFormat/>
    <w:uiPriority w:val="39"/>
    <w:pPr>
      <w:ind w:left="1260" w:leftChars="600"/>
    </w:pPr>
  </w:style>
  <w:style w:type="paragraph" w:styleId="22">
    <w:name w:val="toc 6"/>
    <w:basedOn w:val="1"/>
    <w:next w:val="1"/>
    <w:unhideWhenUsed/>
    <w:qFormat/>
    <w:uiPriority w:val="39"/>
    <w:pPr>
      <w:ind w:left="2100" w:leftChars="1000"/>
    </w:pPr>
  </w:style>
  <w:style w:type="paragraph" w:styleId="23">
    <w:name w:val="toc 2"/>
    <w:basedOn w:val="1"/>
    <w:next w:val="1"/>
    <w:unhideWhenUsed/>
    <w:uiPriority w:val="39"/>
    <w:pPr>
      <w:ind w:left="420" w:leftChars="200"/>
    </w:pPr>
  </w:style>
  <w:style w:type="paragraph" w:styleId="24">
    <w:name w:val="toc 9"/>
    <w:basedOn w:val="1"/>
    <w:next w:val="1"/>
    <w:unhideWhenUsed/>
    <w:uiPriority w:val="39"/>
    <w:pPr>
      <w:ind w:left="3360" w:leftChars="1600"/>
    </w:pPr>
  </w:style>
  <w:style w:type="paragraph" w:styleId="25">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styleId="27">
    <w:name w:val="Hyperlink"/>
    <w:basedOn w:val="26"/>
    <w:unhideWhenUsed/>
    <w:qFormat/>
    <w:uiPriority w:val="99"/>
    <w:rPr>
      <w:color w:val="0563C1" w:themeColor="hyperlink"/>
      <w:u w:val="single"/>
    </w:rPr>
  </w:style>
  <w:style w:type="character" w:styleId="28">
    <w:name w:val="annotation reference"/>
    <w:semiHidden/>
    <w:qFormat/>
    <w:uiPriority w:val="99"/>
    <w:rPr>
      <w:sz w:val="21"/>
      <w:szCs w:val="21"/>
    </w:rPr>
  </w:style>
  <w:style w:type="table" w:styleId="30">
    <w:name w:val="Table Grid"/>
    <w:basedOn w:val="2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31">
    <w:name w:val="页眉 字符"/>
    <w:basedOn w:val="26"/>
    <w:link w:val="19"/>
    <w:qFormat/>
    <w:uiPriority w:val="99"/>
    <w:rPr>
      <w:sz w:val="18"/>
      <w:szCs w:val="18"/>
    </w:rPr>
  </w:style>
  <w:style w:type="character" w:customStyle="1" w:styleId="32">
    <w:name w:val="页脚 字符"/>
    <w:basedOn w:val="26"/>
    <w:link w:val="18"/>
    <w:qFormat/>
    <w:uiPriority w:val="99"/>
    <w:rPr>
      <w:sz w:val="18"/>
      <w:szCs w:val="18"/>
    </w:rPr>
  </w:style>
  <w:style w:type="paragraph" w:styleId="33">
    <w:name w:val="No Spacing"/>
    <w:link w:val="34"/>
    <w:qFormat/>
    <w:uiPriority w:val="1"/>
    <w:rPr>
      <w:rFonts w:asciiTheme="minorHAnsi" w:hAnsiTheme="minorHAnsi" w:eastAsiaTheme="minorEastAsia" w:cstheme="minorBidi"/>
      <w:sz w:val="22"/>
      <w:szCs w:val="22"/>
      <w:lang w:val="en-US" w:eastAsia="zh-CN" w:bidi="ar-SA"/>
    </w:rPr>
  </w:style>
  <w:style w:type="character" w:customStyle="1" w:styleId="34">
    <w:name w:val="无间隔 字符"/>
    <w:basedOn w:val="26"/>
    <w:link w:val="33"/>
    <w:uiPriority w:val="1"/>
    <w:rPr>
      <w:kern w:val="0"/>
      <w:sz w:val="22"/>
    </w:rPr>
  </w:style>
  <w:style w:type="character" w:customStyle="1" w:styleId="35">
    <w:name w:val="标题 1 字符"/>
    <w:basedOn w:val="26"/>
    <w:qFormat/>
    <w:uiPriority w:val="9"/>
    <w:rPr>
      <w:b/>
      <w:bCs/>
      <w:kern w:val="44"/>
      <w:sz w:val="44"/>
      <w:szCs w:val="44"/>
    </w:rPr>
  </w:style>
  <w:style w:type="character" w:customStyle="1" w:styleId="36">
    <w:name w:val="标题 1 字符1"/>
    <w:link w:val="3"/>
    <w:uiPriority w:val="9"/>
    <w:rPr>
      <w:rFonts w:ascii="Calibri" w:hAnsi="Calibri" w:eastAsia="宋体" w:cs="Times New Roman"/>
      <w:b/>
      <w:bCs/>
      <w:kern w:val="44"/>
      <w:sz w:val="32"/>
      <w:szCs w:val="44"/>
    </w:rPr>
  </w:style>
  <w:style w:type="character" w:customStyle="1" w:styleId="37">
    <w:name w:val="标题 2 字符"/>
    <w:basedOn w:val="26"/>
    <w:link w:val="4"/>
    <w:qFormat/>
    <w:uiPriority w:val="9"/>
    <w:rPr>
      <w:rFonts w:eastAsia="宋体" w:asciiTheme="majorHAnsi" w:hAnsiTheme="majorHAnsi" w:cstheme="majorBidi"/>
      <w:b/>
      <w:bCs/>
      <w:sz w:val="28"/>
      <w:szCs w:val="32"/>
    </w:rPr>
  </w:style>
  <w:style w:type="character" w:customStyle="1" w:styleId="38">
    <w:name w:val="标题 3 字符"/>
    <w:basedOn w:val="26"/>
    <w:link w:val="5"/>
    <w:uiPriority w:val="9"/>
    <w:rPr>
      <w:b/>
      <w:bCs/>
      <w:sz w:val="32"/>
      <w:szCs w:val="32"/>
    </w:rPr>
  </w:style>
  <w:style w:type="character" w:customStyle="1" w:styleId="39">
    <w:name w:val="纯文本 字符1"/>
    <w:link w:val="15"/>
    <w:qFormat/>
    <w:uiPriority w:val="0"/>
    <w:rPr>
      <w:rFonts w:ascii="宋体" w:hAnsi="Courier New" w:eastAsia="宋体"/>
    </w:rPr>
  </w:style>
  <w:style w:type="character" w:customStyle="1" w:styleId="40">
    <w:name w:val="正文文本 3 字符1"/>
    <w:link w:val="11"/>
    <w:qFormat/>
    <w:uiPriority w:val="0"/>
    <w:rPr>
      <w:sz w:val="16"/>
      <w:szCs w:val="16"/>
    </w:rPr>
  </w:style>
  <w:style w:type="character" w:customStyle="1" w:styleId="41">
    <w:name w:val="正文文本 3 字符"/>
    <w:basedOn w:val="26"/>
    <w:semiHidden/>
    <w:qFormat/>
    <w:uiPriority w:val="99"/>
    <w:rPr>
      <w:sz w:val="16"/>
      <w:szCs w:val="16"/>
    </w:rPr>
  </w:style>
  <w:style w:type="character" w:customStyle="1" w:styleId="42">
    <w:name w:val="纯文本 字符"/>
    <w:basedOn w:val="26"/>
    <w:qFormat/>
    <w:uiPriority w:val="0"/>
    <w:rPr>
      <w:rFonts w:hAnsi="Courier New" w:cs="Courier New" w:asciiTheme="minorEastAsia"/>
    </w:rPr>
  </w:style>
  <w:style w:type="paragraph" w:customStyle="1" w:styleId="43">
    <w:name w:val="Default"/>
    <w:uiPriority w:val="0"/>
    <w:pPr>
      <w:widowControl w:val="0"/>
      <w:autoSpaceDE w:val="0"/>
      <w:autoSpaceDN w:val="0"/>
      <w:adjustRightInd w:val="0"/>
    </w:pPr>
    <w:rPr>
      <w:rFonts w:ascii=".." w:hAnsi="Times New Roman" w:eastAsia=".." w:cs="Times New Roman"/>
      <w:color w:val="000000"/>
      <w:sz w:val="24"/>
      <w:szCs w:val="24"/>
      <w:lang w:val="en-US" w:eastAsia="zh-CN" w:bidi="ar-SA"/>
    </w:rPr>
  </w:style>
  <w:style w:type="character" w:customStyle="1" w:styleId="44">
    <w:name w:val="正文缩进 字符"/>
    <w:link w:val="10"/>
    <w:uiPriority w:val="0"/>
    <w:rPr>
      <w:rFonts w:eastAsia="宋体"/>
    </w:rPr>
  </w:style>
  <w:style w:type="character" w:customStyle="1" w:styleId="45">
    <w:name w:val="未处理的提及1"/>
    <w:basedOn w:val="26"/>
    <w:semiHidden/>
    <w:unhideWhenUsed/>
    <w:uiPriority w:val="99"/>
    <w:rPr>
      <w:color w:val="605E5C"/>
      <w:shd w:val="clear" w:color="auto" w:fill="E1DFDD"/>
    </w:rPr>
  </w:style>
  <w:style w:type="paragraph" w:customStyle="1" w:styleId="46">
    <w:name w:val="TOC 标题1"/>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496" w:themeColor="accent1" w:themeShade="BF"/>
      <w:kern w:val="0"/>
      <w:szCs w:val="32"/>
    </w:rPr>
  </w:style>
  <w:style w:type="character" w:customStyle="1" w:styleId="47">
    <w:name w:val="标题 2 Char"/>
    <w:uiPriority w:val="9"/>
    <w:rPr>
      <w:rFonts w:ascii="Arial" w:hAnsi="Arial" w:eastAsia="黑体"/>
      <w:b/>
      <w:bCs/>
      <w:kern w:val="2"/>
      <w:sz w:val="32"/>
      <w:szCs w:val="32"/>
      <w:lang w:val="en-US" w:eastAsia="zh-CN" w:bidi="ar-SA"/>
    </w:rPr>
  </w:style>
  <w:style w:type="paragraph" w:styleId="48">
    <w:name w:val="List Paragraph"/>
    <w:basedOn w:val="1"/>
    <w:qFormat/>
    <w:uiPriority w:val="1"/>
    <w:pPr>
      <w:ind w:firstLine="420" w:firstLineChars="200"/>
    </w:pPr>
  </w:style>
  <w:style w:type="character" w:customStyle="1" w:styleId="49">
    <w:name w:val="纯文本 Char"/>
    <w:locked/>
    <w:uiPriority w:val="0"/>
    <w:rPr>
      <w:rFonts w:ascii="宋体" w:hAnsi="Courier New"/>
      <w:kern w:val="2"/>
      <w:sz w:val="21"/>
    </w:rPr>
  </w:style>
  <w:style w:type="character" w:customStyle="1" w:styleId="50">
    <w:name w:val="标题 4 字符"/>
    <w:basedOn w:val="26"/>
    <w:link w:val="6"/>
    <w:qFormat/>
    <w:uiPriority w:val="9"/>
    <w:rPr>
      <w:rFonts w:asciiTheme="majorHAnsi" w:hAnsiTheme="majorHAnsi" w:eastAsiaTheme="majorEastAsia" w:cstheme="majorBidi"/>
      <w:b/>
      <w:bCs/>
      <w:kern w:val="0"/>
      <w:sz w:val="28"/>
      <w:szCs w:val="28"/>
    </w:rPr>
  </w:style>
  <w:style w:type="character" w:customStyle="1" w:styleId="51">
    <w:name w:val="批注文字 字符"/>
    <w:basedOn w:val="26"/>
    <w:link w:val="8"/>
    <w:uiPriority w:val="99"/>
    <w:rPr>
      <w:sz w:val="24"/>
      <w:szCs w:val="24"/>
    </w:rPr>
  </w:style>
  <w:style w:type="paragraph" w:customStyle="1" w:styleId="52">
    <w:name w:val="0表格样式"/>
    <w:qFormat/>
    <w:uiPriority w:val="0"/>
    <w:rPr>
      <w:rFonts w:ascii="Calibri" w:hAnsi="Calibri" w:eastAsia="仿宋" w:cs="仿宋_GB2312"/>
      <w:kern w:val="2"/>
      <w:sz w:val="21"/>
      <w:szCs w:val="28"/>
      <w:lang w:val="en-US" w:eastAsia="zh-CN" w:bidi="ar-SA"/>
    </w:rPr>
  </w:style>
  <w:style w:type="paragraph" w:customStyle="1" w:styleId="53">
    <w:name w:val="li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4">
    <w:name w:val="文档正文"/>
    <w:basedOn w:val="1"/>
    <w:qFormat/>
    <w:uiPriority w:val="0"/>
    <w:pPr>
      <w:widowControl/>
      <w:adjustRightInd w:val="0"/>
      <w:spacing w:line="312" w:lineRule="atLeast"/>
      <w:ind w:firstLine="567"/>
      <w:jc w:val="left"/>
      <w:textAlignment w:val="baseline"/>
    </w:pPr>
    <w:rPr>
      <w:rFonts w:ascii="长城仿宋" w:hAnsi="Times New Roman" w:eastAsia="长城仿宋" w:cs="Times New Roman"/>
      <w:sz w:val="28"/>
      <w:szCs w:val="20"/>
    </w:rPr>
  </w:style>
  <w:style w:type="character" w:customStyle="1" w:styleId="55">
    <w:name w:val="批注框文本 字符"/>
    <w:basedOn w:val="26"/>
    <w:link w:val="17"/>
    <w:semiHidden/>
    <w:qFormat/>
    <w:uiPriority w:val="99"/>
    <w:rPr>
      <w:rFonts w:ascii="宋体" w:hAnsi="宋体" w:eastAsia="等线" w:cs="Times New Roman"/>
      <w:kern w:val="0"/>
      <w:sz w:val="18"/>
      <w:szCs w:val="18"/>
    </w:rPr>
  </w:style>
  <w:style w:type="character" w:customStyle="1" w:styleId="56">
    <w:name w:val="批注主题 字符"/>
    <w:basedOn w:val="51"/>
    <w:link w:val="7"/>
    <w:semiHidden/>
    <w:qFormat/>
    <w:uiPriority w:val="99"/>
    <w:rPr>
      <w:rFonts w:ascii="宋体" w:hAnsi="宋体" w:eastAsia="等线" w:cs="Times New Roman"/>
      <w:b/>
      <w:bCs/>
      <w:kern w:val="0"/>
      <w:sz w:val="20"/>
      <w:szCs w:val="20"/>
    </w:rPr>
  </w:style>
  <w:style w:type="character" w:customStyle="1" w:styleId="57">
    <w:name w:val="正文文本 字符"/>
    <w:basedOn w:val="26"/>
    <w:link w:val="12"/>
    <w:qFormat/>
    <w:uiPriority w:val="1"/>
    <w:rPr>
      <w:rFonts w:ascii="宋体" w:hAnsi="宋体" w:eastAsia="宋体" w:cs="宋体"/>
      <w:kern w:val="0"/>
      <w:szCs w:val="21"/>
      <w:lang w:eastAsia="en-US"/>
    </w:rPr>
  </w:style>
  <w:style w:type="paragraph" w:customStyle="1" w:styleId="58">
    <w:name w:val="样式1"/>
    <w:basedOn w:val="1"/>
    <w:uiPriority w:val="0"/>
    <w:pPr>
      <w:numPr>
        <w:ilvl w:val="0"/>
        <w:numId w:val="1"/>
      </w:numPr>
      <w:adjustRightInd w:val="0"/>
      <w:textAlignment w:val="baseline"/>
    </w:pPr>
    <w:rPr>
      <w:rFonts w:ascii="宋体" w:hAnsi="宋体" w:eastAsia="宋体" w:cs="Times New Roman"/>
      <w:kern w:val="0"/>
      <w:szCs w:val="21"/>
    </w:rPr>
  </w:style>
  <w:style w:type="character" w:customStyle="1" w:styleId="59">
    <w:name w:val="正文文本缩进 3 字符"/>
    <w:link w:val="2"/>
    <w:uiPriority w:val="99"/>
    <w:rPr>
      <w:sz w:val="16"/>
      <w:szCs w:val="16"/>
    </w:rPr>
  </w:style>
  <w:style w:type="character" w:customStyle="1" w:styleId="60">
    <w:name w:val="正文文本缩进 3 Char1"/>
    <w:basedOn w:val="26"/>
    <w:semiHidden/>
    <w:uiPriority w:val="99"/>
    <w:rPr>
      <w:sz w:val="16"/>
      <w:szCs w:val="16"/>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E7090C-BC1A-429D-8FCC-57316B4DC78C}">
  <ds:schemaRefs/>
</ds:datastoreItem>
</file>

<file path=docProps/app.xml><?xml version="1.0" encoding="utf-8"?>
<Properties xmlns="http://schemas.openxmlformats.org/officeDocument/2006/extended-properties" xmlns:vt="http://schemas.openxmlformats.org/officeDocument/2006/docPropsVTypes">
  <Template>Normal.dotm</Template>
  <Pages>5</Pages>
  <Words>668</Words>
  <Characters>3813</Characters>
  <Lines>31</Lines>
  <Paragraphs>8</Paragraphs>
  <TotalTime>105</TotalTime>
  <ScaleCrop>false</ScaleCrop>
  <LinksUpToDate>false</LinksUpToDate>
  <CharactersWithSpaces>4473</CharactersWithSpaces>
  <Application>WPS Office_11.1.0.7811_F1E327BC-269C-435d-A152-05C5408002CA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2019-09-29T07:20:00Z</dcterms:created>
  <dc:creator>HBZC</dc:creator>
  <cp:lastModifiedBy>clamp</cp:lastModifiedBy>
  <dcterms:modified xsi:type="dcterms:W3CDTF">2019-10-21T06:24:04Z</dcterms:modified>
  <cp:revision>104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2052-11.1.0.7811</vt:lpwstr>
  </property>
</Properties>
</file>